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p>
    <w:p w:rsidR="003A2E8C" w:rsidRPr="007B6B22" w:rsidRDefault="00E13F52" w:rsidP="0041284B">
      <w:pPr>
        <w:pStyle w:val="NoSpacing"/>
        <w:jc w:val="center"/>
        <w:rPr>
          <w:rFonts w:cstheme="minorHAnsi"/>
          <w:b/>
          <w:color w:val="2E74B5" w:themeColor="accent1" w:themeShade="BF"/>
          <w:sz w:val="32"/>
          <w:lang w:val="ka-GE"/>
        </w:rPr>
      </w:pPr>
      <w:r w:rsidRPr="007B6B22">
        <w:rPr>
          <w:rFonts w:cstheme="minorHAnsi"/>
          <w:b/>
          <w:color w:val="2E74B5" w:themeColor="accent1" w:themeShade="BF"/>
          <w:sz w:val="32"/>
          <w:lang w:val="ka-GE"/>
        </w:rPr>
        <w:t>საშუალოვადიანი</w:t>
      </w:r>
      <w:r w:rsidR="00A05BA2" w:rsidRPr="007B6B22">
        <w:rPr>
          <w:rFonts w:cstheme="minorHAnsi"/>
          <w:b/>
          <w:color w:val="2E74B5" w:themeColor="accent1" w:themeShade="BF"/>
          <w:sz w:val="32"/>
          <w:lang w:val="ka-GE"/>
        </w:rPr>
        <w:t xml:space="preserve"> პროგნოზ</w:t>
      </w:r>
      <w:r w:rsidRPr="007B6B22">
        <w:rPr>
          <w:rFonts w:cstheme="minorHAnsi"/>
          <w:b/>
          <w:color w:val="2E74B5" w:themeColor="accent1" w:themeShade="BF"/>
          <w:sz w:val="32"/>
          <w:lang w:val="ka-GE"/>
        </w:rPr>
        <w:t>ებ</w:t>
      </w:r>
      <w:r w:rsidR="0041284B" w:rsidRPr="007B6B22">
        <w:rPr>
          <w:rFonts w:cstheme="minorHAnsi"/>
          <w:b/>
          <w:color w:val="2E74B5" w:themeColor="accent1" w:themeShade="BF"/>
          <w:sz w:val="32"/>
          <w:lang w:val="ka-GE"/>
        </w:rPr>
        <w:t>ის შედარება</w:t>
      </w:r>
    </w:p>
    <w:p w:rsidR="003A2E8C" w:rsidRDefault="003A2E8C" w:rsidP="0041284B">
      <w:pPr>
        <w:pStyle w:val="NoSpacing"/>
        <w:jc w:val="center"/>
        <w:rPr>
          <w:rFonts w:ascii="Sylfaen" w:hAnsi="Sylfaen" w:cs="Sylfaen"/>
          <w:b/>
          <w:color w:val="2E74B5" w:themeColor="accent1" w:themeShade="BF"/>
          <w:sz w:val="28"/>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C70029" w:rsidRDefault="003A2E8C">
          <w:pPr>
            <w:pStyle w:val="TOC1"/>
            <w:tabs>
              <w:tab w:val="left" w:pos="440"/>
              <w:tab w:val="right" w:leader="dot" w:pos="9890"/>
            </w:tabs>
            <w:rPr>
              <w:rFonts w:eastAsiaTheme="minorEastAsia"/>
              <w:noProof/>
            </w:rPr>
          </w:pPr>
          <w:r>
            <w:fldChar w:fldCharType="begin"/>
          </w:r>
          <w:r>
            <w:instrText xml:space="preserve"> TOC \o "1-3" \h \z \u </w:instrText>
          </w:r>
          <w:r>
            <w:fldChar w:fldCharType="separate"/>
          </w:r>
          <w:hyperlink w:anchor="_Toc76394887" w:history="1">
            <w:r w:rsidR="00C70029" w:rsidRPr="00494A34">
              <w:rPr>
                <w:rStyle w:val="Hyperlink"/>
                <w:rFonts w:ascii="Sylfaen" w:hAnsi="Sylfaen" w:cs="Sylfaen"/>
                <w:b/>
                <w:noProof/>
                <w:lang w:val="ka-GE"/>
              </w:rPr>
              <w:t>1.</w:t>
            </w:r>
            <w:r w:rsidR="00C70029">
              <w:rPr>
                <w:rFonts w:eastAsiaTheme="minorEastAsia"/>
                <w:noProof/>
              </w:rPr>
              <w:tab/>
            </w:r>
            <w:r w:rsidR="00C70029" w:rsidRPr="00494A34">
              <w:rPr>
                <w:rStyle w:val="Hyperlink"/>
                <w:rFonts w:ascii="Sylfaen" w:hAnsi="Sylfaen" w:cs="Sylfaen"/>
                <w:b/>
                <w:noProof/>
                <w:lang w:val="ka-GE"/>
              </w:rPr>
              <w:t>ძირითადი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მაკროეკონომიკური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და</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ფისკალური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პარამეტრები</w:t>
            </w:r>
            <w:r w:rsidR="00C70029">
              <w:rPr>
                <w:noProof/>
                <w:webHidden/>
              </w:rPr>
              <w:tab/>
            </w:r>
            <w:r w:rsidR="00C70029">
              <w:rPr>
                <w:noProof/>
                <w:webHidden/>
              </w:rPr>
              <w:fldChar w:fldCharType="begin"/>
            </w:r>
            <w:r w:rsidR="00C70029">
              <w:rPr>
                <w:noProof/>
                <w:webHidden/>
              </w:rPr>
              <w:instrText xml:space="preserve"> PAGEREF _Toc76394887 \h </w:instrText>
            </w:r>
            <w:r w:rsidR="00C70029">
              <w:rPr>
                <w:noProof/>
                <w:webHidden/>
              </w:rPr>
            </w:r>
            <w:r w:rsidR="00C70029">
              <w:rPr>
                <w:noProof/>
                <w:webHidden/>
              </w:rPr>
              <w:fldChar w:fldCharType="separate"/>
            </w:r>
            <w:r w:rsidR="00C70029">
              <w:rPr>
                <w:noProof/>
                <w:webHidden/>
              </w:rPr>
              <w:t>2</w:t>
            </w:r>
            <w:r w:rsidR="00C70029">
              <w:rPr>
                <w:noProof/>
                <w:webHidden/>
              </w:rPr>
              <w:fldChar w:fldCharType="end"/>
            </w:r>
          </w:hyperlink>
        </w:p>
        <w:p w:rsidR="00C70029" w:rsidRDefault="00021E8F">
          <w:pPr>
            <w:pStyle w:val="TOC1"/>
            <w:tabs>
              <w:tab w:val="left" w:pos="440"/>
              <w:tab w:val="right" w:leader="dot" w:pos="9890"/>
            </w:tabs>
            <w:rPr>
              <w:rFonts w:eastAsiaTheme="minorEastAsia"/>
              <w:noProof/>
            </w:rPr>
          </w:pPr>
          <w:hyperlink w:anchor="_Toc76394888" w:history="1">
            <w:r w:rsidR="00C70029" w:rsidRPr="00494A34">
              <w:rPr>
                <w:rStyle w:val="Hyperlink"/>
                <w:rFonts w:ascii="Sylfaen" w:hAnsi="Sylfaen" w:cs="Sylfaen"/>
                <w:b/>
                <w:noProof/>
                <w:lang w:val="ka-GE"/>
              </w:rPr>
              <w:t>2.</w:t>
            </w:r>
            <w:r w:rsidR="00C70029">
              <w:rPr>
                <w:rFonts w:eastAsiaTheme="minorEastAsia"/>
                <w:noProof/>
              </w:rPr>
              <w:tab/>
            </w:r>
            <w:r w:rsidR="00C70029" w:rsidRPr="00494A34">
              <w:rPr>
                <w:rStyle w:val="Hyperlink"/>
                <w:rFonts w:ascii="Sylfaen" w:hAnsi="Sylfaen" w:cs="Sylfaen"/>
                <w:b/>
                <w:noProof/>
                <w:lang w:val="ka-GE"/>
              </w:rPr>
              <w:t>ფისკალური</w:t>
            </w:r>
            <w:r w:rsidR="00C70029" w:rsidRPr="00494A34">
              <w:rPr>
                <w:rStyle w:val="Hyperlink"/>
                <w:rFonts w:ascii="Sylfaen" w:hAnsi="Sylfaen"/>
                <w:b/>
                <w:noProof/>
                <w:lang w:val="ka-GE"/>
              </w:rPr>
              <w:t xml:space="preserve"> </w:t>
            </w:r>
            <w:r w:rsidR="00C70029" w:rsidRPr="00494A34">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C70029">
              <w:rPr>
                <w:noProof/>
                <w:webHidden/>
              </w:rPr>
              <w:tab/>
            </w:r>
            <w:r w:rsidR="00C70029">
              <w:rPr>
                <w:noProof/>
                <w:webHidden/>
              </w:rPr>
              <w:fldChar w:fldCharType="begin"/>
            </w:r>
            <w:r w:rsidR="00C70029">
              <w:rPr>
                <w:noProof/>
                <w:webHidden/>
              </w:rPr>
              <w:instrText xml:space="preserve"> PAGEREF _Toc76394888 \h </w:instrText>
            </w:r>
            <w:r w:rsidR="00C70029">
              <w:rPr>
                <w:noProof/>
                <w:webHidden/>
              </w:rPr>
            </w:r>
            <w:r w:rsidR="00C70029">
              <w:rPr>
                <w:noProof/>
                <w:webHidden/>
              </w:rPr>
              <w:fldChar w:fldCharType="separate"/>
            </w:r>
            <w:r w:rsidR="00C70029">
              <w:rPr>
                <w:noProof/>
                <w:webHidden/>
              </w:rPr>
              <w:t>6</w:t>
            </w:r>
            <w:r w:rsidR="00C70029">
              <w:rPr>
                <w:noProof/>
                <w:webHidden/>
              </w:rPr>
              <w:fldChar w:fldCharType="end"/>
            </w:r>
          </w:hyperlink>
        </w:p>
        <w:p w:rsidR="00C70029" w:rsidRDefault="00021E8F">
          <w:pPr>
            <w:pStyle w:val="TOC2"/>
            <w:tabs>
              <w:tab w:val="right" w:leader="dot" w:pos="9890"/>
            </w:tabs>
            <w:rPr>
              <w:rFonts w:eastAsiaTheme="minorEastAsia"/>
              <w:noProof/>
            </w:rPr>
          </w:pPr>
          <w:hyperlink w:anchor="_Toc76394889" w:history="1">
            <w:r w:rsidR="00C70029" w:rsidRPr="00494A34">
              <w:rPr>
                <w:rStyle w:val="Hyperlink"/>
                <w:rFonts w:ascii="Sylfaen" w:hAnsi="Sylfaen"/>
                <w:noProof/>
                <w:lang w:val="ka-GE"/>
              </w:rPr>
              <w:t>2.1 ფისკალური ჩარჩოს შედარება</w:t>
            </w:r>
            <w:r w:rsidR="00C70029">
              <w:rPr>
                <w:noProof/>
                <w:webHidden/>
              </w:rPr>
              <w:tab/>
            </w:r>
            <w:r w:rsidR="00C70029">
              <w:rPr>
                <w:noProof/>
                <w:webHidden/>
              </w:rPr>
              <w:fldChar w:fldCharType="begin"/>
            </w:r>
            <w:r w:rsidR="00C70029">
              <w:rPr>
                <w:noProof/>
                <w:webHidden/>
              </w:rPr>
              <w:instrText xml:space="preserve"> PAGEREF _Toc76394889 \h </w:instrText>
            </w:r>
            <w:r w:rsidR="00C70029">
              <w:rPr>
                <w:noProof/>
                <w:webHidden/>
              </w:rPr>
            </w:r>
            <w:r w:rsidR="00C70029">
              <w:rPr>
                <w:noProof/>
                <w:webHidden/>
              </w:rPr>
              <w:fldChar w:fldCharType="separate"/>
            </w:r>
            <w:r w:rsidR="00C70029">
              <w:rPr>
                <w:noProof/>
                <w:webHidden/>
              </w:rPr>
              <w:t>6</w:t>
            </w:r>
            <w:r w:rsidR="00C70029">
              <w:rPr>
                <w:noProof/>
                <w:webHidden/>
              </w:rPr>
              <w:fldChar w:fldCharType="end"/>
            </w:r>
          </w:hyperlink>
        </w:p>
        <w:p w:rsidR="00C70029" w:rsidRDefault="00021E8F">
          <w:pPr>
            <w:pStyle w:val="TOC2"/>
            <w:tabs>
              <w:tab w:val="right" w:leader="dot" w:pos="9890"/>
            </w:tabs>
            <w:rPr>
              <w:rFonts w:eastAsiaTheme="minorEastAsia"/>
              <w:noProof/>
            </w:rPr>
          </w:pPr>
          <w:hyperlink w:anchor="_Toc76394890" w:history="1">
            <w:r w:rsidR="00C70029" w:rsidRPr="00494A34">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C70029">
              <w:rPr>
                <w:noProof/>
                <w:webHidden/>
              </w:rPr>
              <w:tab/>
            </w:r>
            <w:r w:rsidR="00C70029">
              <w:rPr>
                <w:noProof/>
                <w:webHidden/>
              </w:rPr>
              <w:fldChar w:fldCharType="begin"/>
            </w:r>
            <w:r w:rsidR="00C70029">
              <w:rPr>
                <w:noProof/>
                <w:webHidden/>
              </w:rPr>
              <w:instrText xml:space="preserve"> PAGEREF _Toc76394890 \h </w:instrText>
            </w:r>
            <w:r w:rsidR="00C70029">
              <w:rPr>
                <w:noProof/>
                <w:webHidden/>
              </w:rPr>
            </w:r>
            <w:r w:rsidR="00C70029">
              <w:rPr>
                <w:noProof/>
                <w:webHidden/>
              </w:rPr>
              <w:fldChar w:fldCharType="separate"/>
            </w:r>
            <w:r w:rsidR="00C70029">
              <w:rPr>
                <w:noProof/>
                <w:webHidden/>
              </w:rPr>
              <w:t>13</w:t>
            </w:r>
            <w:r w:rsidR="00C70029">
              <w:rPr>
                <w:noProof/>
                <w:webHidden/>
              </w:rPr>
              <w:fldChar w:fldCharType="end"/>
            </w:r>
          </w:hyperlink>
        </w:p>
        <w:p w:rsidR="00C70029" w:rsidRDefault="00021E8F">
          <w:pPr>
            <w:pStyle w:val="TOC1"/>
            <w:tabs>
              <w:tab w:val="left" w:pos="440"/>
              <w:tab w:val="right" w:leader="dot" w:pos="9890"/>
            </w:tabs>
            <w:rPr>
              <w:rFonts w:eastAsiaTheme="minorEastAsia"/>
              <w:noProof/>
            </w:rPr>
          </w:pPr>
          <w:hyperlink w:anchor="_Toc76394891" w:history="1">
            <w:r w:rsidR="00C70029" w:rsidRPr="00494A34">
              <w:rPr>
                <w:rStyle w:val="Hyperlink"/>
                <w:rFonts w:ascii="Sylfaen" w:hAnsi="Sylfaen"/>
                <w:b/>
                <w:noProof/>
                <w:lang w:val="ka-GE"/>
              </w:rPr>
              <w:t>3.</w:t>
            </w:r>
            <w:r w:rsidR="00C70029">
              <w:rPr>
                <w:rFonts w:eastAsiaTheme="minorEastAsia"/>
                <w:noProof/>
              </w:rPr>
              <w:tab/>
            </w:r>
            <w:r w:rsidR="00C70029" w:rsidRPr="00494A34">
              <w:rPr>
                <w:rStyle w:val="Hyperlink"/>
                <w:rFonts w:ascii="Sylfaen" w:hAnsi="Sylfaen" w:cs="Sylfaen"/>
                <w:b/>
                <w:noProof/>
                <w:lang w:val="ka-GE"/>
              </w:rPr>
              <w:t>მთავრობის</w:t>
            </w:r>
            <w:r w:rsidR="00C70029" w:rsidRPr="00494A34">
              <w:rPr>
                <w:rStyle w:val="Hyperlink"/>
                <w:rFonts w:ascii="Sylfaen" w:hAnsi="Sylfaen"/>
                <w:b/>
                <w:noProof/>
                <w:lang w:val="ka-GE"/>
              </w:rPr>
              <w:t xml:space="preserve"> ვალი</w:t>
            </w:r>
            <w:r w:rsidR="00C70029">
              <w:rPr>
                <w:noProof/>
                <w:webHidden/>
              </w:rPr>
              <w:tab/>
            </w:r>
            <w:r w:rsidR="00C70029">
              <w:rPr>
                <w:noProof/>
                <w:webHidden/>
              </w:rPr>
              <w:fldChar w:fldCharType="begin"/>
            </w:r>
            <w:r w:rsidR="00C70029">
              <w:rPr>
                <w:noProof/>
                <w:webHidden/>
              </w:rPr>
              <w:instrText xml:space="preserve"> PAGEREF _Toc76394891 \h </w:instrText>
            </w:r>
            <w:r w:rsidR="00C70029">
              <w:rPr>
                <w:noProof/>
                <w:webHidden/>
              </w:rPr>
            </w:r>
            <w:r w:rsidR="00C70029">
              <w:rPr>
                <w:noProof/>
                <w:webHidden/>
              </w:rPr>
              <w:fldChar w:fldCharType="separate"/>
            </w:r>
            <w:r w:rsidR="00C70029">
              <w:rPr>
                <w:noProof/>
                <w:webHidden/>
              </w:rPr>
              <w:t>16</w:t>
            </w:r>
            <w:r w:rsidR="00C70029">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76394887"/>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7D46C3" w:rsidRPr="00C9780C" w:rsidRDefault="00021E8F" w:rsidP="00021E8F">
      <w:pPr>
        <w:pStyle w:val="ListParagraph"/>
        <w:ind w:left="0" w:firstLine="709"/>
        <w:jc w:val="both"/>
        <w:rPr>
          <w:rFonts w:ascii="Sylfaen" w:hAnsi="Sylfaen"/>
          <w:lang w:val="ka-GE"/>
        </w:rPr>
      </w:pPr>
      <w:r w:rsidRPr="000E4929">
        <w:rPr>
          <w:rFonts w:ascii="Sylfaen" w:hAnsi="Sylfaen"/>
          <w:lang w:val="ka-GE"/>
        </w:rPr>
        <w:t>საქართველოს საბიუჯეტო კოდექსის“ თანახმად მიმდინარე წლის 10 ივლისამდე, საქართველოს მთავრობამ უნდა მოიწონოს „2022-2025 ქვეყნის ძირითადი მონაცემების და მიმართულებების დოკუმენტის“ პირველადი ვარიანტი</w:t>
      </w:r>
      <w:r>
        <w:rPr>
          <w:rFonts w:ascii="Sylfaen" w:hAnsi="Sylfaen"/>
          <w:lang w:val="ka-GE"/>
        </w:rPr>
        <w:t xml:space="preserve">.  </w:t>
      </w:r>
      <w:r w:rsidR="00D968E5" w:rsidRPr="00C9780C">
        <w:rPr>
          <w:rFonts w:ascii="Sylfaen" w:hAnsi="Sylfaen"/>
          <w:lang w:val="ka-GE"/>
        </w:rPr>
        <w:t xml:space="preserve">წინამდებარე პროგნოზი, მომზადდა </w:t>
      </w:r>
      <w:r>
        <w:rPr>
          <w:rFonts w:ascii="Sylfaen" w:hAnsi="Sylfaen"/>
        </w:rPr>
        <w:t>“</w:t>
      </w:r>
      <w:r w:rsidR="00C75BD8" w:rsidRPr="00C9780C">
        <w:rPr>
          <w:rFonts w:ascii="Sylfaen" w:hAnsi="Sylfaen"/>
          <w:lang w:val="ka-GE"/>
        </w:rPr>
        <w:t>2022-2025 წლების</w:t>
      </w:r>
      <w:r>
        <w:rPr>
          <w:rFonts w:ascii="Sylfaen" w:hAnsi="Sylfaen"/>
        </w:rPr>
        <w:t xml:space="preserve"> </w:t>
      </w:r>
      <w:r>
        <w:rPr>
          <w:rFonts w:ascii="Sylfaen" w:hAnsi="Sylfaen"/>
          <w:lang w:val="ka-GE"/>
        </w:rPr>
        <w:t>ქვეყნის ძირითადი მონაცემების და მიმართულებების დოკუმენტის“ პირველადი ვარიანტის მომზადების მიზნით</w:t>
      </w:r>
      <w:r w:rsidR="00C75BD8" w:rsidRPr="00C9780C">
        <w:rPr>
          <w:rFonts w:ascii="Sylfaen" w:hAnsi="Sylfaen"/>
          <w:lang w:val="ka-GE"/>
        </w:rPr>
        <w:t xml:space="preserve"> </w:t>
      </w:r>
      <w:r w:rsidR="00D968E5" w:rsidRPr="00C9780C">
        <w:rPr>
          <w:rFonts w:ascii="Sylfaen" w:hAnsi="Sylfaen"/>
          <w:lang w:val="ka-GE"/>
        </w:rPr>
        <w:t xml:space="preserve">და წარმოადგენს </w:t>
      </w:r>
      <w:r w:rsidR="000620EC" w:rsidRPr="00C9780C">
        <w:rPr>
          <w:rFonts w:ascii="Sylfaen" w:hAnsi="Sylfaen"/>
          <w:lang w:val="ka-GE"/>
        </w:rPr>
        <w:t xml:space="preserve">2020 წლის ბოლოს </w:t>
      </w:r>
      <w:r w:rsidR="00D968E5" w:rsidRPr="00C9780C">
        <w:rPr>
          <w:rFonts w:ascii="Sylfaen" w:hAnsi="Sylfaen"/>
          <w:lang w:val="ka-GE"/>
        </w:rPr>
        <w:t>20</w:t>
      </w:r>
      <w:r w:rsidR="003A51E0" w:rsidRPr="00C9780C">
        <w:rPr>
          <w:rFonts w:ascii="Sylfaen" w:hAnsi="Sylfaen"/>
          <w:lang w:val="ka-GE"/>
        </w:rPr>
        <w:t>2</w:t>
      </w:r>
      <w:r w:rsidR="006E3687" w:rsidRPr="00C9780C">
        <w:rPr>
          <w:rFonts w:ascii="Sylfaen" w:hAnsi="Sylfaen"/>
          <w:lang w:val="ka-GE"/>
        </w:rPr>
        <w:t>1</w:t>
      </w:r>
      <w:r w:rsidR="00D968E5" w:rsidRPr="00C9780C">
        <w:rPr>
          <w:rFonts w:ascii="Sylfaen" w:hAnsi="Sylfaen"/>
          <w:lang w:val="ka-GE"/>
        </w:rPr>
        <w:t xml:space="preserve"> წლის </w:t>
      </w:r>
      <w:r w:rsidR="006E3687" w:rsidRPr="00C9780C">
        <w:rPr>
          <w:rFonts w:ascii="Sylfaen" w:hAnsi="Sylfaen"/>
          <w:lang w:val="ka-GE"/>
        </w:rPr>
        <w:t xml:space="preserve">სახელმწიფო </w:t>
      </w:r>
      <w:r w:rsidR="00D968E5" w:rsidRPr="00C9780C">
        <w:rPr>
          <w:rFonts w:ascii="Sylfaen" w:hAnsi="Sylfaen"/>
          <w:lang w:val="ka-GE"/>
        </w:rPr>
        <w:t>ბიუჯეტ</w:t>
      </w:r>
      <w:r w:rsidR="000620EC" w:rsidRPr="00C9780C">
        <w:rPr>
          <w:rFonts w:ascii="Sylfaen" w:hAnsi="Sylfaen"/>
          <w:lang w:val="ka-GE"/>
        </w:rPr>
        <w:t xml:space="preserve">ის </w:t>
      </w:r>
      <w:r w:rsidR="00984BC1" w:rsidRPr="00C9780C">
        <w:rPr>
          <w:rFonts w:ascii="Sylfaen" w:hAnsi="Sylfaen"/>
          <w:lang w:val="ka-GE"/>
        </w:rPr>
        <w:t>თავდაპირველ</w:t>
      </w:r>
      <w:r w:rsidR="000620EC" w:rsidRPr="00C9780C">
        <w:rPr>
          <w:rFonts w:ascii="Sylfaen" w:hAnsi="Sylfaen"/>
          <w:lang w:val="ka-GE"/>
        </w:rPr>
        <w:t xml:space="preserve"> კანონზე</w:t>
      </w:r>
      <w:r w:rsidR="00D968E5" w:rsidRPr="00C9780C">
        <w:rPr>
          <w:rFonts w:ascii="Sylfaen" w:hAnsi="Sylfaen"/>
          <w:lang w:val="ka-GE"/>
        </w:rPr>
        <w:t xml:space="preserve"> თანდართული </w:t>
      </w:r>
      <w:r w:rsidR="00AF23C1" w:rsidRPr="00C9780C">
        <w:rPr>
          <w:rFonts w:ascii="Sylfaen" w:hAnsi="Sylfaen"/>
          <w:lang w:val="ka-GE"/>
        </w:rPr>
        <w:t>„</w:t>
      </w:r>
      <w:r w:rsidR="00D968E5" w:rsidRPr="00C9780C">
        <w:rPr>
          <w:rFonts w:ascii="Sylfaen" w:hAnsi="Sylfaen"/>
          <w:lang w:val="ka-GE"/>
        </w:rPr>
        <w:t>20</w:t>
      </w:r>
      <w:r w:rsidR="003A51E0" w:rsidRPr="00C9780C">
        <w:rPr>
          <w:rFonts w:ascii="Sylfaen" w:hAnsi="Sylfaen"/>
          <w:lang w:val="ka-GE"/>
        </w:rPr>
        <w:t>2</w:t>
      </w:r>
      <w:r w:rsidR="000620EC" w:rsidRPr="00C9780C">
        <w:rPr>
          <w:rFonts w:ascii="Sylfaen" w:hAnsi="Sylfaen"/>
          <w:lang w:val="ka-GE"/>
        </w:rPr>
        <w:t>1</w:t>
      </w:r>
      <w:r w:rsidR="00D968E5" w:rsidRPr="00C9780C">
        <w:rPr>
          <w:rFonts w:ascii="Sylfaen" w:hAnsi="Sylfaen"/>
          <w:lang w:val="ka-GE"/>
        </w:rPr>
        <w:t>-202</w:t>
      </w:r>
      <w:r w:rsidR="000620EC" w:rsidRPr="00C9780C">
        <w:rPr>
          <w:rFonts w:ascii="Sylfaen" w:hAnsi="Sylfaen"/>
          <w:lang w:val="ka-GE"/>
        </w:rPr>
        <w:t>4</w:t>
      </w:r>
      <w:r w:rsidR="00D968E5" w:rsidRPr="00C9780C">
        <w:rPr>
          <w:rFonts w:ascii="Sylfaen" w:hAnsi="Sylfaen"/>
          <w:lang w:val="ka-GE"/>
        </w:rPr>
        <w:t xml:space="preserve"> წლების ქვეყნის ძირითადი მონაცემების და მიმართულებების </w:t>
      </w:r>
      <w:r w:rsidR="00AF23C1" w:rsidRPr="00C9780C">
        <w:rPr>
          <w:rFonts w:ascii="Sylfaen" w:hAnsi="Sylfaen"/>
          <w:lang w:val="ka-GE"/>
        </w:rPr>
        <w:t>დოკუმენტით“</w:t>
      </w:r>
      <w:r w:rsidR="00D968E5" w:rsidRPr="00C9780C">
        <w:rPr>
          <w:rFonts w:ascii="Sylfaen" w:hAnsi="Sylfaen"/>
          <w:lang w:val="ka-GE"/>
        </w:rPr>
        <w:t xml:space="preserve"> </w:t>
      </w:r>
      <w:r w:rsidR="00AF23C1" w:rsidRPr="00C9780C">
        <w:rPr>
          <w:rFonts w:ascii="Sylfaen" w:hAnsi="Sylfaen"/>
          <w:lang w:val="ka-GE"/>
        </w:rPr>
        <w:t>წარმოდგენილ</w:t>
      </w:r>
      <w:r w:rsidR="00984BC1" w:rsidRPr="00C9780C">
        <w:rPr>
          <w:rFonts w:ascii="Sylfaen" w:hAnsi="Sylfaen"/>
          <w:lang w:val="ka-GE"/>
        </w:rPr>
        <w:t>ი</w:t>
      </w:r>
      <w:r w:rsidR="00AF23C1" w:rsidRPr="00C9780C">
        <w:rPr>
          <w:rFonts w:ascii="Sylfaen" w:hAnsi="Sylfaen"/>
          <w:lang w:val="ka-GE"/>
        </w:rPr>
        <w:t xml:space="preserve">  საშუალოვადიანი ეკონომიკურ და ფისკალურ პარამეტრების</w:t>
      </w:r>
      <w:r w:rsidR="00D968E5" w:rsidRPr="00C9780C">
        <w:rPr>
          <w:rFonts w:ascii="Sylfaen" w:hAnsi="Sylfaen"/>
          <w:lang w:val="ka-GE"/>
        </w:rPr>
        <w:t xml:space="preserve"> პროგნოზ</w:t>
      </w:r>
      <w:r w:rsidR="00AF23C1" w:rsidRPr="00C9780C">
        <w:rPr>
          <w:rFonts w:ascii="Sylfaen" w:hAnsi="Sylfaen"/>
          <w:lang w:val="ka-GE"/>
        </w:rPr>
        <w:t>ებ</w:t>
      </w:r>
      <w:r w:rsidR="00C75BD8" w:rsidRPr="00C9780C">
        <w:rPr>
          <w:rFonts w:ascii="Sylfaen" w:hAnsi="Sylfaen"/>
          <w:lang w:val="ka-GE"/>
        </w:rPr>
        <w:t>თან</w:t>
      </w:r>
      <w:r w:rsidR="00AF23C1" w:rsidRPr="00C9780C">
        <w:rPr>
          <w:rFonts w:ascii="Sylfaen" w:hAnsi="Sylfaen"/>
          <w:lang w:val="ka-GE"/>
        </w:rPr>
        <w:t xml:space="preserve"> შედარებით ანალიზს</w:t>
      </w:r>
      <w:r w:rsidR="0045636A" w:rsidRPr="00C9780C">
        <w:rPr>
          <w:rStyle w:val="FootnoteReference"/>
          <w:rFonts w:ascii="Sylfaen" w:hAnsi="Sylfaen"/>
          <w:lang w:val="ka-GE"/>
        </w:rPr>
        <w:footnoteReference w:id="1"/>
      </w:r>
      <w:r w:rsidR="005025C2" w:rsidRPr="00C9780C">
        <w:rPr>
          <w:rFonts w:ascii="Sylfaen" w:hAnsi="Sylfaen"/>
          <w:lang w:val="ka-GE"/>
        </w:rPr>
        <w:t>.</w:t>
      </w:r>
    </w:p>
    <w:p w:rsidR="00984BC1"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ab/>
      </w:r>
      <w:r w:rsidR="002026E6" w:rsidRPr="00C9780C">
        <w:rPr>
          <w:rFonts w:ascii="Sylfaen" w:hAnsi="Sylfaen"/>
          <w:lang w:val="ka-GE"/>
        </w:rPr>
        <w:t>2020 წელს ახალი კორონავირუსის</w:t>
      </w:r>
      <w:r w:rsidR="00984BC1" w:rsidRPr="00C9780C">
        <w:rPr>
          <w:rFonts w:ascii="Sylfaen" w:hAnsi="Sylfaen"/>
          <w:lang w:val="ka-GE"/>
        </w:rPr>
        <w:t xml:space="preserve"> (</w:t>
      </w:r>
      <w:r w:rsidR="00984BC1" w:rsidRPr="00C9780C">
        <w:rPr>
          <w:rFonts w:ascii="Sylfaen" w:hAnsi="Sylfaen"/>
          <w:lang w:val="en-GB"/>
        </w:rPr>
        <w:t>COVID-19)</w:t>
      </w:r>
      <w:r w:rsidR="002026E6"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w:t>
      </w:r>
      <w:r w:rsidRPr="00C9780C">
        <w:rPr>
          <w:rFonts w:ascii="Sylfaen" w:hAnsi="Sylfaen"/>
          <w:lang w:val="ka-GE"/>
        </w:rPr>
        <w:t xml:space="preserve"> </w:t>
      </w:r>
      <w:r w:rsidR="002026E6" w:rsidRPr="00C9780C">
        <w:rPr>
          <w:rFonts w:ascii="Sylfaen" w:hAnsi="Sylfaen"/>
          <w:lang w:val="ka-GE"/>
        </w:rPr>
        <w:t>და</w:t>
      </w:r>
      <w:r w:rsidRPr="00C9780C">
        <w:rPr>
          <w:rFonts w:ascii="Sylfaen" w:hAnsi="Sylfaen"/>
          <w:lang w:val="ka-GE"/>
        </w:rPr>
        <w:t xml:space="preserve">  2020</w:t>
      </w:r>
      <w:r w:rsidR="002026E6" w:rsidRPr="00C9780C">
        <w:rPr>
          <w:rFonts w:ascii="Sylfaen" w:hAnsi="Sylfaen"/>
          <w:lang w:val="ka-GE"/>
        </w:rPr>
        <w:t xml:space="preserve">-2024 წლების პროგნოზები რამდენჯერმე შეიცვალა. </w:t>
      </w:r>
      <w:r w:rsidR="000E4929">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6,2%-ის ოდენობით. </w:t>
      </w:r>
      <w:r w:rsidR="00014376" w:rsidRPr="00C9780C">
        <w:rPr>
          <w:rFonts w:ascii="Sylfaen" w:hAnsi="Sylfaen"/>
          <w:lang w:val="ka-GE"/>
        </w:rPr>
        <w:t xml:space="preserve">2020 წლის ნოემბერში, პროგნოზების განახლებისას განხორციელებული ცვლილებები გამოწვეული იყო ძირითადად </w:t>
      </w:r>
      <w:r w:rsidR="00014376" w:rsidRPr="00C9780C">
        <w:rPr>
          <w:rFonts w:ascii="Sylfaen" w:hAnsi="Sylfaen"/>
        </w:rPr>
        <w:t xml:space="preserve">2020 </w:t>
      </w:r>
      <w:r w:rsidR="00014376" w:rsidRPr="00C9780C">
        <w:rPr>
          <w:rFonts w:ascii="Sylfaen" w:hAnsi="Sylfaen"/>
          <w:lang w:val="ka-GE"/>
        </w:rPr>
        <w:t>წლის მესამე-მეოთხე კვარტალში განვითარებული პანდემიის მეორე ტალღით, რომელიც თავისი შედეგებით მნიშვნ</w:t>
      </w:r>
      <w:r w:rsidR="00984BC1" w:rsidRPr="00C9780C">
        <w:rPr>
          <w:rFonts w:ascii="Sylfaen" w:hAnsi="Sylfaen"/>
          <w:lang w:val="ka-GE"/>
        </w:rPr>
        <w:t>ე</w:t>
      </w:r>
      <w:r w:rsidR="00014376" w:rsidRPr="00C9780C">
        <w:rPr>
          <w:rFonts w:ascii="Sylfaen" w:hAnsi="Sylfaen"/>
          <w:lang w:val="ka-GE"/>
        </w:rPr>
        <w:t xml:space="preserve">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მოყვა </w:t>
      </w:r>
      <w:r w:rsidR="000E4929">
        <w:rPr>
          <w:rFonts w:ascii="Sylfaen" w:hAnsi="Sylfaen"/>
          <w:lang w:val="ka-GE"/>
        </w:rPr>
        <w:t>დამატებითი</w:t>
      </w:r>
      <w:r w:rsidR="00014376" w:rsidRPr="00C9780C">
        <w:rPr>
          <w:rFonts w:ascii="Sylfaen" w:hAnsi="Sylfaen"/>
          <w:lang w:val="ka-GE"/>
        </w:rPr>
        <w:t xml:space="preserve"> შემზღუდავი ღონისძიებები. გამომდინარე იქიდან, რომ ნოემბრის მდგომარე</w:t>
      </w:r>
      <w:r w:rsidR="00984BC1" w:rsidRPr="00C9780C">
        <w:rPr>
          <w:rFonts w:ascii="Sylfaen" w:hAnsi="Sylfaen"/>
          <w:lang w:val="ka-GE"/>
        </w:rPr>
        <w:t>ო</w:t>
      </w:r>
      <w:r w:rsidR="00014376" w:rsidRPr="00C9780C">
        <w:rPr>
          <w:rFonts w:ascii="Sylfaen" w:hAnsi="Sylfaen"/>
          <w:lang w:val="ka-GE"/>
        </w:rPr>
        <w:t xml:space="preserve">ბით ჯერ კიდევ არ იყო მკაფიო სურათი </w:t>
      </w:r>
      <w:r w:rsidR="00984BC1" w:rsidRPr="00C9780C">
        <w:rPr>
          <w:rFonts w:ascii="Sylfaen" w:hAnsi="Sylfaen"/>
          <w:lang w:val="ka-GE"/>
        </w:rPr>
        <w:t>ვაქცი</w:t>
      </w:r>
      <w:r w:rsidR="00014376" w:rsidRPr="00C9780C">
        <w:rPr>
          <w:rFonts w:ascii="Sylfaen" w:hAnsi="Sylfaen"/>
          <w:lang w:val="ka-GE"/>
        </w:rPr>
        <w:t>ნ</w:t>
      </w:r>
      <w:r w:rsidR="00984BC1" w:rsidRPr="00C9780C">
        <w:rPr>
          <w:rFonts w:ascii="Sylfaen" w:hAnsi="Sylfaen"/>
          <w:lang w:val="ka-GE"/>
        </w:rPr>
        <w:t>ა</w:t>
      </w:r>
      <w:r w:rsidR="00014376" w:rsidRPr="00C9780C">
        <w:rPr>
          <w:rFonts w:ascii="Sylfaen" w:hAnsi="Sylfaen"/>
          <w:lang w:val="ka-GE"/>
        </w:rPr>
        <w:t>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w:t>
      </w:r>
      <w:r w:rsidR="00984BC1" w:rsidRPr="00C9780C">
        <w:rPr>
          <w:rFonts w:ascii="Sylfaen" w:hAnsi="Sylfaen"/>
          <w:lang w:val="ka-GE"/>
        </w:rPr>
        <w:t>ე</w:t>
      </w:r>
      <w:r w:rsidR="00014376" w:rsidRPr="00C9780C">
        <w:rPr>
          <w:rFonts w:ascii="Sylfaen" w:hAnsi="Sylfaen"/>
          <w:lang w:val="ka-GE"/>
        </w:rPr>
        <w:t xml:space="preserve">ლი ტალღის ტემპებს, ეკონომიკის აღდგენის პერსპექტივა დაბალი </w:t>
      </w:r>
      <w:r w:rsidR="000E4929">
        <w:rPr>
          <w:rFonts w:ascii="Sylfaen" w:hAnsi="Sylfaen"/>
          <w:lang w:val="ka-GE"/>
        </w:rPr>
        <w:t>ალბათობით</w:t>
      </w:r>
      <w:r w:rsidR="00014376" w:rsidRPr="00C9780C">
        <w:rPr>
          <w:rFonts w:ascii="Sylfaen" w:hAnsi="Sylfaen"/>
          <w:lang w:val="ka-GE"/>
        </w:rPr>
        <w:t xml:space="preserve"> შეფასდა. </w:t>
      </w:r>
      <w:r w:rsidR="002026E6" w:rsidRPr="00C9780C">
        <w:rPr>
          <w:rFonts w:ascii="Sylfaen" w:hAnsi="Sylfaen"/>
          <w:lang w:val="ka-GE"/>
        </w:rPr>
        <w:t>2020 წლის</w:t>
      </w:r>
      <w:r w:rsidR="00984BC1" w:rsidRPr="00C9780C">
        <w:rPr>
          <w:rFonts w:ascii="Sylfaen" w:hAnsi="Sylfaen"/>
          <w:lang w:val="ka-GE"/>
        </w:rPr>
        <w:t xml:space="preserve"> </w:t>
      </w:r>
      <w:r w:rsidR="002026E6" w:rsidRPr="00C9780C">
        <w:rPr>
          <w:rFonts w:ascii="Sylfaen" w:hAnsi="Sylfaen"/>
          <w:lang w:val="ka-GE"/>
        </w:rPr>
        <w:t>ბოლოსთვის არსებული ვითარების გათვალისწინებით</w:t>
      </w:r>
      <w:r w:rsidR="00984BC1" w:rsidRPr="00C9780C">
        <w:rPr>
          <w:rFonts w:ascii="Sylfaen" w:hAnsi="Sylfaen"/>
          <w:lang w:val="ka-GE"/>
        </w:rPr>
        <w:t>,</w:t>
      </w:r>
      <w:r w:rsidR="002026E6" w:rsidRPr="00C9780C">
        <w:rPr>
          <w:rFonts w:ascii="Sylfaen" w:hAnsi="Sylfaen"/>
          <w:lang w:val="ka-GE"/>
        </w:rPr>
        <w:t xml:space="preserve">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B429B2"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ჯამში წინასწარი მონაცემებით 5 თვის ეკონომიკური ზრდა 11,5%-ს შეადგენს.</w:t>
      </w:r>
    </w:p>
    <w:p w:rsidR="00B429B2" w:rsidRPr="00C9780C" w:rsidRDefault="00B429B2" w:rsidP="00C75BD8">
      <w:pPr>
        <w:pStyle w:val="ListParagraph"/>
        <w:ind w:left="0" w:firstLine="709"/>
        <w:jc w:val="both"/>
        <w:rPr>
          <w:rFonts w:ascii="Sylfaen" w:hAnsi="Sylfaen"/>
          <w:lang w:val="ka-GE"/>
        </w:rPr>
      </w:pPr>
      <w:r w:rsidRPr="00C9780C">
        <w:rPr>
          <w:rFonts w:ascii="Sylfaen" w:hAnsi="Sylfaen"/>
          <w:lang w:val="ka-GE"/>
        </w:rPr>
        <w:tab/>
        <w:t xml:space="preserve">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w:t>
      </w:r>
      <w:r w:rsidR="00246230" w:rsidRPr="00C9780C">
        <w:rPr>
          <w:rFonts w:ascii="Sylfaen" w:hAnsi="Sylfaen"/>
          <w:lang w:val="ka-GE"/>
        </w:rPr>
        <w:t xml:space="preserve">წინაწარ </w:t>
      </w:r>
      <w:r w:rsidRPr="00C9780C">
        <w:rPr>
          <w:rFonts w:ascii="Sylfaen" w:hAnsi="Sylfaen"/>
          <w:lang w:val="ka-GE"/>
        </w:rPr>
        <w:t>პროგნოზებში 2021 წლის ეკონომიკური ზრდის პროგნოზი</w:t>
      </w:r>
      <w:r w:rsidR="00246230" w:rsidRPr="00C9780C">
        <w:rPr>
          <w:rStyle w:val="FootnoteReference"/>
          <w:rFonts w:ascii="Sylfaen" w:hAnsi="Sylfaen"/>
          <w:lang w:val="ka-GE"/>
        </w:rPr>
        <w:footnoteReference w:id="2"/>
      </w:r>
      <w:r w:rsidRPr="00C9780C">
        <w:rPr>
          <w:rFonts w:ascii="Sylfaen" w:hAnsi="Sylfaen"/>
          <w:lang w:val="ka-GE"/>
        </w:rPr>
        <w:t xml:space="preserve"> ერთხელ უკვე განახლდა და 6,5% შეადგინა, თუმცა მაისის და ივნისის მაჩვენებლების გათვალისწინებით</w:t>
      </w:r>
      <w:r w:rsidR="00984BC1" w:rsidRPr="00C9780C">
        <w:rPr>
          <w:rFonts w:ascii="Sylfaen" w:hAnsi="Sylfaen"/>
          <w:lang w:val="ka-GE"/>
        </w:rPr>
        <w:t>,</w:t>
      </w:r>
      <w:r w:rsidRPr="00C9780C">
        <w:rPr>
          <w:rFonts w:ascii="Sylfaen" w:hAnsi="Sylfaen"/>
          <w:lang w:val="ka-GE"/>
        </w:rPr>
        <w:t xml:space="preserve"> საბაზო სცენარში კიდევ ერთხელ გაიზარდა აღნიშნული მაჩვენებელი და</w:t>
      </w:r>
      <w:r w:rsidR="00021E8F">
        <w:rPr>
          <w:rFonts w:ascii="Sylfaen" w:hAnsi="Sylfaen"/>
          <w:lang w:val="ka-GE"/>
        </w:rPr>
        <w:t xml:space="preserve"> საქართველოს პარლამენტს წარედგინა</w:t>
      </w:r>
      <w:r w:rsidRPr="00C9780C">
        <w:rPr>
          <w:rFonts w:ascii="Sylfaen" w:hAnsi="Sylfaen"/>
          <w:lang w:val="ka-GE"/>
        </w:rPr>
        <w:t xml:space="preserve"> </w:t>
      </w:r>
      <w:r w:rsidR="00246230" w:rsidRPr="00C9780C">
        <w:rPr>
          <w:rFonts w:ascii="Sylfaen" w:hAnsi="Sylfaen"/>
          <w:lang w:val="ka-GE"/>
        </w:rPr>
        <w:t>2021 წლის სახელმწიფო ბიუჯეტის კანონის ცვლილების პროექტ</w:t>
      </w:r>
      <w:r w:rsidR="00021E8F">
        <w:rPr>
          <w:rFonts w:ascii="Sylfaen" w:hAnsi="Sylfaen"/>
          <w:lang w:val="ka-GE"/>
        </w:rPr>
        <w:t>ი, რომელზე</w:t>
      </w:r>
      <w:r w:rsidR="00246230" w:rsidRPr="00C9780C">
        <w:rPr>
          <w:rFonts w:ascii="Sylfaen" w:hAnsi="Sylfaen"/>
          <w:lang w:val="ka-GE"/>
        </w:rPr>
        <w:t xml:space="preserve"> თანდართული პროგნოზების საბაზო სცენარში </w:t>
      </w:r>
      <w:r w:rsidRPr="00C9780C">
        <w:rPr>
          <w:rFonts w:ascii="Sylfaen" w:hAnsi="Sylfaen"/>
          <w:lang w:val="ka-GE"/>
        </w:rPr>
        <w:t>2021 წლის რეალური ეკონომიკური ზრდის პროგნოზი 7,7%-ს შეადგენს.</w:t>
      </w:r>
      <w:r w:rsidR="00246230" w:rsidRPr="00C9780C">
        <w:rPr>
          <w:rFonts w:ascii="Sylfaen" w:hAnsi="Sylfaen"/>
          <w:lang w:val="ka-GE"/>
        </w:rPr>
        <w:t xml:space="preserve"> ბ</w:t>
      </w:r>
      <w:r w:rsidR="00021E8F">
        <w:rPr>
          <w:rFonts w:ascii="Sylfaen" w:hAnsi="Sylfaen"/>
          <w:lang w:val="ka-GE"/>
        </w:rPr>
        <w:t>იუჯეტის პროექტთან</w:t>
      </w:r>
      <w:r w:rsidR="00246230" w:rsidRPr="00C9780C">
        <w:rPr>
          <w:rFonts w:ascii="Sylfaen" w:hAnsi="Sylfaen"/>
          <w:lang w:val="ka-GE"/>
        </w:rPr>
        <w:t xml:space="preserve"> ერთად</w:t>
      </w:r>
      <w:r w:rsidR="00984BC1" w:rsidRPr="00C9780C">
        <w:rPr>
          <w:rFonts w:ascii="Sylfaen" w:hAnsi="Sylfaen"/>
          <w:lang w:val="ka-GE"/>
        </w:rPr>
        <w:t>,</w:t>
      </w:r>
      <w:r w:rsidR="00246230" w:rsidRPr="00C9780C">
        <w:rPr>
          <w:rFonts w:ascii="Sylfaen" w:hAnsi="Sylfaen"/>
          <w:lang w:val="ka-GE"/>
        </w:rPr>
        <w:t xml:space="preserve"> </w:t>
      </w:r>
      <w:r w:rsidR="00021E8F">
        <w:rPr>
          <w:rFonts w:ascii="Sylfaen" w:hAnsi="Sylfaen"/>
          <w:lang w:val="ka-GE"/>
        </w:rPr>
        <w:t xml:space="preserve">საქართველოს პარლამენტს </w:t>
      </w:r>
      <w:r w:rsidR="00246230" w:rsidRPr="00C9780C">
        <w:rPr>
          <w:rFonts w:ascii="Sylfaen" w:hAnsi="Sylfaen"/>
          <w:lang w:val="ka-GE"/>
        </w:rPr>
        <w:t>ასევე წარ</w:t>
      </w:r>
      <w:r w:rsidR="00021E8F">
        <w:rPr>
          <w:rFonts w:ascii="Sylfaen" w:hAnsi="Sylfaen"/>
          <w:lang w:val="ka-GE"/>
        </w:rPr>
        <w:t>ე</w:t>
      </w:r>
      <w:r w:rsidR="00246230" w:rsidRPr="00C9780C">
        <w:rPr>
          <w:rFonts w:ascii="Sylfaen" w:hAnsi="Sylfaen"/>
          <w:lang w:val="ka-GE"/>
        </w:rPr>
        <w:t>დგი</w:t>
      </w:r>
      <w:r w:rsidR="00021E8F">
        <w:rPr>
          <w:rFonts w:ascii="Sylfaen" w:hAnsi="Sylfaen"/>
          <w:lang w:val="ka-GE"/>
        </w:rPr>
        <w:t>ნ</w:t>
      </w:r>
      <w:r w:rsidR="00246230" w:rsidRPr="00C9780C">
        <w:rPr>
          <w:rFonts w:ascii="Sylfaen" w:hAnsi="Sylfaen"/>
          <w:lang w:val="ka-GE"/>
        </w:rPr>
        <w:t xml:space="preserve">ა ოპტიმისტური სცენარიც, რომლის რეალიზების ალბათობაც საკმაოდ მაღალია. ოპტიმისტური სცენარის მიხედვით ეკონომიკური ზრდა გადააჭარბებს 10%-ს. </w:t>
      </w:r>
    </w:p>
    <w:p w:rsidR="00014376" w:rsidRPr="00C9780C" w:rsidRDefault="00014376" w:rsidP="00014376">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w:t>
      </w:r>
      <w:r w:rsidR="00984BC1" w:rsidRPr="00C9780C">
        <w:rPr>
          <w:rFonts w:ascii="Sylfaen" w:hAnsi="Sylfaen"/>
          <w:lang w:val="ka-GE"/>
        </w:rPr>
        <w:t>რეალური</w:t>
      </w:r>
      <w:r w:rsidRPr="00C9780C">
        <w:rPr>
          <w:rFonts w:ascii="Sylfaen" w:hAnsi="Sylfaen"/>
          <w:lang w:val="ka-GE"/>
        </w:rPr>
        <w:t xml:space="preserve"> ეკონომიკის დონემ მნიშვნელოვნად გადააჭარბა არა</w:t>
      </w:r>
      <w:r w:rsidR="00984BC1" w:rsidRPr="00C9780C">
        <w:rPr>
          <w:rFonts w:ascii="Sylfaen" w:hAnsi="Sylfaen"/>
          <w:lang w:val="ka-GE"/>
        </w:rPr>
        <w:t xml:space="preserve"> </w:t>
      </w:r>
      <w:r w:rsidRPr="00C9780C">
        <w:rPr>
          <w:rFonts w:ascii="Sylfaen" w:hAnsi="Sylfaen"/>
          <w:lang w:val="ka-GE"/>
        </w:rPr>
        <w:t>მხოლოდ პანდემიამდელ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აქტივობის სრულად შენარჩუნება მოსალოდნელი არ არის, ვინაიდან მნიშვნელოვანწილად იგი განპირობებული იყო ერთი მხრივ</w:t>
      </w:r>
      <w:r w:rsidR="00984BC1" w:rsidRPr="00C9780C">
        <w:rPr>
          <w:rFonts w:ascii="Sylfaen" w:hAnsi="Sylfaen"/>
          <w:lang w:val="ka-GE"/>
        </w:rPr>
        <w:t>,</w:t>
      </w:r>
      <w:r w:rsidRPr="00C9780C">
        <w:rPr>
          <w:rFonts w:ascii="Sylfaen" w:hAnsi="Sylfaen"/>
          <w:lang w:val="ka-GE"/>
        </w:rPr>
        <w:t xml:space="preserve"> ეკონომიკის გახსნის ერთჯერადი ეფექტით, ხოლო მეორე მხრივ</w:t>
      </w:r>
      <w:r w:rsidR="00984BC1" w:rsidRPr="00C9780C">
        <w:rPr>
          <w:rFonts w:ascii="Sylfaen" w:hAnsi="Sylfaen"/>
          <w:lang w:val="ka-GE"/>
        </w:rPr>
        <w:t>,</w:t>
      </w:r>
      <w:r w:rsidRPr="00C9780C">
        <w:rPr>
          <w:rFonts w:ascii="Sylfaen" w:hAnsi="Sylfaen"/>
          <w:lang w:val="ka-GE"/>
        </w:rPr>
        <w:t xml:space="preserve">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984BC1" w:rsidRPr="00C9780C" w:rsidRDefault="00984BC1" w:rsidP="00014376">
      <w:pPr>
        <w:pStyle w:val="NoSpacing"/>
        <w:spacing w:line="276" w:lineRule="auto"/>
        <w:ind w:firstLine="720"/>
        <w:jc w:val="both"/>
        <w:rPr>
          <w:rFonts w:ascii="Sylfaen" w:hAnsi="Sylfaen"/>
          <w:lang w:val="ka-GE"/>
        </w:rPr>
      </w:pPr>
    </w:p>
    <w:p w:rsidR="00D83A99" w:rsidRPr="00C9780C" w:rsidRDefault="00984BC1" w:rsidP="00984BC1">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r w:rsidRPr="00C9780C">
        <w:rPr>
          <w:rFonts w:ascii="Sylfaen" w:eastAsia="Times New Roman" w:hAnsi="Sylfaen" w:cs="Calibri"/>
          <w:b/>
          <w:bCs/>
          <w:color w:val="000000"/>
          <w:sz w:val="20"/>
          <w:szCs w:val="20"/>
        </w:rPr>
        <w:t>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ძითითადი ვარაუდები და </w:t>
      </w:r>
      <w:r w:rsidRPr="00C9780C">
        <w:rPr>
          <w:rFonts w:ascii="Sylfaen" w:eastAsia="Times New Roman" w:hAnsi="Sylfaen" w:cs="Calibri"/>
          <w:b/>
          <w:bCs/>
          <w:color w:val="000000"/>
          <w:sz w:val="20"/>
          <w:szCs w:val="20"/>
          <w:lang w:val="ka-GE"/>
        </w:rPr>
        <w:t>დ</w:t>
      </w:r>
      <w:r w:rsidRPr="00C9780C">
        <w:rPr>
          <w:rFonts w:ascii="Sylfaen" w:eastAsia="Times New Roman" w:hAnsi="Sylfaen" w:cs="Calibri"/>
          <w:b/>
          <w:bCs/>
          <w:color w:val="000000"/>
          <w:sz w:val="20"/>
          <w:szCs w:val="20"/>
        </w:rPr>
        <w:t>აშვებები</w:t>
      </w:r>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014376" w:rsidRPr="00C9780C" w:rsidTr="003A2E8C">
        <w:trPr>
          <w:trHeight w:val="300"/>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014376" w:rsidRPr="00C9780C" w:rsidTr="003A2E8C">
        <w:trPr>
          <w:trHeight w:val="300"/>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ფაქტ.</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4.9%</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0.3%</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3.0%</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00984BC1" w:rsidRPr="00C9780C">
              <w:rPr>
                <w:rFonts w:ascii="Sylfaen" w:eastAsia="Times New Roman" w:hAnsi="Sylfaen" w:cs="Calibri"/>
                <w:b/>
                <w:color w:val="000000"/>
                <w:sz w:val="18"/>
                <w:lang w:val="ka-GE"/>
              </w:rPr>
              <w:t xml:space="preserve"> </w:t>
            </w:r>
            <w:r w:rsidR="00984BC1" w:rsidRPr="00C9780C">
              <w:rPr>
                <w:rFonts w:ascii="Sylfaen" w:eastAsia="Times New Roman" w:hAnsi="Sylfaen" w:cs="Calibri"/>
                <w:b/>
                <w:color w:val="000000"/>
                <w:sz w:val="18"/>
              </w:rPr>
              <w:t>განაკვეთი სესხებ</w:t>
            </w:r>
            <w:r w:rsidRPr="00C9780C">
              <w:rPr>
                <w:rFonts w:ascii="Sylfaen" w:eastAsia="Times New Roman" w:hAnsi="Sylfaen" w:cs="Calibri"/>
                <w:b/>
                <w:color w:val="000000"/>
                <w:sz w:val="18"/>
              </w:rPr>
              <w:t>ხე,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10.1%</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11.7%</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10.7%</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საპროცენტო</w:t>
            </w:r>
            <w:r w:rsidR="00984BC1" w:rsidRPr="00C9780C">
              <w:rPr>
                <w:rFonts w:ascii="Sylfaen" w:eastAsia="Times New Roman" w:hAnsi="Sylfaen" w:cs="Calibri"/>
                <w:color w:val="000000"/>
                <w:sz w:val="18"/>
                <w:lang w:val="ka-GE"/>
              </w:rPr>
              <w:t xml:space="preserve"> </w:t>
            </w:r>
            <w:r w:rsidRPr="00C9780C">
              <w:rPr>
                <w:rFonts w:ascii="Sylfaen" w:eastAsia="Times New Roman" w:hAnsi="Sylfaen" w:cs="Calibri"/>
                <w:color w:val="000000"/>
                <w:sz w:val="18"/>
              </w:rPr>
              <w:t>განაკვეთი დეპოზიტებზე,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5.3%</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9.2%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6.7%</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p>
        </w:tc>
      </w:tr>
    </w:tbl>
    <w:p w:rsidR="00014376" w:rsidRPr="00C9780C" w:rsidRDefault="00014376" w:rsidP="00DD6CB2">
      <w:pPr>
        <w:pStyle w:val="NoSpacing"/>
        <w:spacing w:line="276" w:lineRule="auto"/>
        <w:ind w:firstLine="720"/>
        <w:jc w:val="both"/>
        <w:rPr>
          <w:rFonts w:ascii="Sylfaen" w:hAnsi="Sylfaen"/>
          <w:highlight w:val="red"/>
          <w:lang w:val="ka-GE"/>
        </w:rPr>
      </w:pP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ფაქტობრივი მონაცემების დაზუსტებით გამოწვეული ცვლილების ეფექტი. 2020 წელს ეკონომიკური ზრდა ნავარაუდევზე 1.2 პროცენტული პუნქტით ნაკლები აღმოჩნდა, რაც გამოწვეულია პანდემიის მეორე ტალღის პიკური პერიოდის მოსალოდნლზე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აპრილსა და მაისში გამოვლინდა. გაზრდილია აგრეთვე საშუალოვადიანი პროგნოზებიც, ვინაიდან, არ მატერიალიზდა ისეთი მნიშვნელოვანი რისკ ფაქტორი, როგორიცაა პოსტპანდემიურ პერიოდში მოხმარების დაბალი მაჩვენებელი, რომლის მ</w:t>
      </w:r>
      <w:r w:rsidR="00984BC1" w:rsidRPr="00C9780C">
        <w:rPr>
          <w:rFonts w:ascii="Sylfaen" w:hAnsi="Sylfaen"/>
          <w:lang w:val="ka-GE"/>
        </w:rPr>
        <w:t>ა</w:t>
      </w:r>
      <w:r w:rsidRPr="00C9780C">
        <w:rPr>
          <w:rFonts w:ascii="Sylfaen" w:hAnsi="Sylfaen"/>
          <w:lang w:val="ka-GE"/>
        </w:rPr>
        <w:t>ტერიალიზაციის გარკვეული ალბათობა გათვალისწინებული იყო როგორც პესიმისტურ, აგრეთვე საბაზო პროგნოზში. აღნიშნული რისკ</w:t>
      </w:r>
      <w:r w:rsidR="00984BC1" w:rsidRPr="00C9780C">
        <w:rPr>
          <w:rFonts w:ascii="Sylfaen" w:hAnsi="Sylfaen"/>
          <w:lang w:val="ka-GE"/>
        </w:rPr>
        <w:t xml:space="preserve"> </w:t>
      </w:r>
      <w:r w:rsidRPr="00C9780C">
        <w:rPr>
          <w:rFonts w:ascii="Sylfaen" w:hAnsi="Sylfaen"/>
          <w:lang w:val="ka-GE"/>
        </w:rPr>
        <w:t>ფ</w:t>
      </w:r>
      <w:r w:rsidR="00984BC1" w:rsidRPr="00C9780C">
        <w:rPr>
          <w:rFonts w:ascii="Sylfaen" w:hAnsi="Sylfaen"/>
          <w:lang w:val="ka-GE"/>
        </w:rPr>
        <w:t>ა</w:t>
      </w:r>
      <w:r w:rsidRPr="00C9780C">
        <w:rPr>
          <w:rFonts w:ascii="Sylfaen" w:hAnsi="Sylfaen"/>
          <w:lang w:val="ka-GE"/>
        </w:rPr>
        <w:t>ქტორი კვალავ</w:t>
      </w:r>
      <w:r w:rsidR="00984BC1" w:rsidRPr="00C9780C">
        <w:rPr>
          <w:rFonts w:ascii="Sylfaen" w:hAnsi="Sylfaen"/>
          <w:lang w:val="ka-GE"/>
        </w:rPr>
        <w:t>ა</w:t>
      </w:r>
      <w:r w:rsidRPr="00C9780C">
        <w:rPr>
          <w:rFonts w:ascii="Sylfaen" w:hAnsi="Sylfaen"/>
          <w:lang w:val="ka-GE"/>
        </w:rPr>
        <w:t>ც რჩება საშუალოვადიანი პერიოდის რისკებში, თუმცა შემცირებულია მაგნიტუდა და მოსალოდნელობის ალბათობა.</w:t>
      </w: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 xml:space="preserve">გაზრდილია მშპ-ს დეფლატორის როგორც ფაქტობრვი, ასევე საპროგნოზო მაჩვენებლებიც, </w:t>
      </w:r>
      <w:r w:rsidR="00C9780C" w:rsidRPr="00C9780C">
        <w:rPr>
          <w:rFonts w:ascii="Sylfaen" w:hAnsi="Sylfaen"/>
          <w:lang w:val="ka-GE"/>
        </w:rPr>
        <w:t xml:space="preserve">რაც </w:t>
      </w:r>
      <w:r w:rsidRPr="00C9780C">
        <w:rPr>
          <w:rFonts w:ascii="Sylfaen" w:hAnsi="Sylfaen"/>
          <w:lang w:val="ka-GE"/>
        </w:rPr>
        <w:t>გლობალური ინფლაციური ტენდენციები</w:t>
      </w:r>
      <w:r w:rsidR="000E4929">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w:t>
      </w:r>
      <w:r w:rsidR="00C9780C" w:rsidRPr="00C9780C">
        <w:rPr>
          <w:rFonts w:ascii="Sylfaen" w:hAnsi="Sylfaen"/>
          <w:lang w:val="ka-GE"/>
        </w:rPr>
        <w:t xml:space="preserve"> </w:t>
      </w:r>
      <w:r w:rsidRPr="00C9780C">
        <w:rPr>
          <w:rFonts w:ascii="Sylfaen" w:hAnsi="Sylfaen"/>
          <w:lang w:val="ka-GE"/>
        </w:rPr>
        <w:t xml:space="preserve">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საპროცენტო განაკვეთებზეც. ეკონომიკური ზრდისა და დეფლატორის ცვლილების </w:t>
      </w:r>
      <w:r w:rsidR="00C9780C" w:rsidRPr="00C9780C">
        <w:rPr>
          <w:rFonts w:ascii="Sylfaen" w:hAnsi="Sylfaen"/>
          <w:lang w:val="ka-GE"/>
        </w:rPr>
        <w:t>შედეგ</w:t>
      </w:r>
      <w:r w:rsidRPr="00C9780C">
        <w:rPr>
          <w:rFonts w:ascii="Sylfaen" w:hAnsi="Sylfaen"/>
          <w:lang w:val="ka-GE"/>
        </w:rPr>
        <w:t>ად, ბუნებრივია, გადაიხედა ნომინალური მშპ-ს პროგნოზებიც.</w:t>
      </w:r>
    </w:p>
    <w:p w:rsidR="00C9780C" w:rsidRPr="00C9780C" w:rsidRDefault="00C9780C" w:rsidP="00C9780C">
      <w:pPr>
        <w:pStyle w:val="NoSpacing"/>
        <w:spacing w:line="276" w:lineRule="auto"/>
        <w:jc w:val="both"/>
        <w:rPr>
          <w:rFonts w:ascii="Sylfaen" w:eastAsia="Times New Roman" w:hAnsi="Sylfaen" w:cs="Calibri"/>
          <w:b/>
          <w:bCs/>
          <w:color w:val="000000"/>
        </w:rPr>
      </w:pPr>
    </w:p>
    <w:p w:rsidR="00C9780C" w:rsidRPr="00C9780C" w:rsidRDefault="00C9780C" w:rsidP="00C9780C">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2. ნომინალური მშპ-ს ცვლილება</w:t>
      </w:r>
    </w:p>
    <w:tbl>
      <w:tblPr>
        <w:tblW w:w="10182"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001"/>
        <w:gridCol w:w="1001"/>
        <w:gridCol w:w="1001"/>
        <w:gridCol w:w="1001"/>
      </w:tblGrid>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00C9780C"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49,363.5</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53,442.6</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58,238.5</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63,284.9</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68,573.0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00C9780C"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49,407.3</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57,201.4</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63,541.3</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69,842.7</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75,894.6</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Cs/>
                <w:color w:val="000000"/>
                <w:sz w:val="18"/>
                <w:szCs w:val="18"/>
              </w:rPr>
            </w:pPr>
            <w:r w:rsidRPr="00C9780C">
              <w:rPr>
                <w:rFonts w:ascii="Sylfaen" w:eastAsia="Times New Roman" w:hAnsi="Sylfaen" w:cs="Calibri"/>
                <w:bCs/>
                <w:color w:val="000000"/>
                <w:sz w:val="18"/>
                <w:szCs w:val="18"/>
              </w:rPr>
              <w:t>82,001.8</w:t>
            </w:r>
          </w:p>
        </w:tc>
      </w:tr>
    </w:tbl>
    <w:p w:rsidR="00014376" w:rsidRPr="00C9780C" w:rsidRDefault="00014376" w:rsidP="00C9780C">
      <w:pPr>
        <w:pStyle w:val="NoSpacing"/>
        <w:spacing w:line="276" w:lineRule="auto"/>
        <w:jc w:val="both"/>
        <w:rPr>
          <w:rFonts w:ascii="Sylfaen" w:hAnsi="Sylfaen"/>
          <w:lang w:val="ka-GE"/>
        </w:rPr>
      </w:pPr>
    </w:p>
    <w:p w:rsidR="00C9780C" w:rsidRPr="00C9780C" w:rsidRDefault="00C9780C" w:rsidP="00C9780C">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3. ნაერთი ბიუჯეტი</w:t>
      </w:r>
    </w:p>
    <w:tbl>
      <w:tblPr>
        <w:tblW w:w="10182"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001"/>
        <w:gridCol w:w="1001"/>
        <w:gridCol w:w="1001"/>
        <w:gridCol w:w="1001"/>
      </w:tblGrid>
      <w:tr w:rsidR="00014376" w:rsidRPr="00C9780C" w:rsidTr="003A2E8C">
        <w:trPr>
          <w:trHeight w:val="315"/>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3A2E8C">
        <w:trPr>
          <w:trHeight w:val="315"/>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014376" w:rsidRPr="00C9780C" w:rsidTr="003A2E8C">
        <w:trPr>
          <w:trHeight w:val="315"/>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ძველი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12,626.0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13,402.0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14,969.0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16,331.0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17,827.0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-219.0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1,177.0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1,521.0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1,721.0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1,703.0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w:t>
            </w:r>
          </w:p>
        </w:tc>
      </w:tr>
      <w:tr w:rsidR="00014376" w:rsidRPr="00C9780C" w:rsidTr="003A2E8C">
        <w:trPr>
          <w:trHeight w:val="300"/>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-85.6</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877.0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1,471.0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1,694.0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1,701.0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r>
      <w:tr w:rsidR="00014376" w:rsidRPr="00C9780C" w:rsidTr="003A2E8C">
        <w:trPr>
          <w:trHeight w:val="315"/>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12,407.0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14,579.0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16,490.0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18,052.0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19,530.0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21,114.0</w:t>
            </w:r>
          </w:p>
        </w:tc>
      </w:tr>
      <w:tr w:rsidR="00014376" w:rsidRPr="00C9780C" w:rsidTr="003A2E8C">
        <w:trPr>
          <w:trHeight w:val="315"/>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16,976.0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17,643.0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17,618.0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18,394.0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19,723.0</w:t>
            </w:r>
          </w:p>
        </w:tc>
        <w:tc>
          <w:tcPr>
            <w:tcW w:w="1001"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w:t>
            </w:r>
          </w:p>
        </w:tc>
      </w:tr>
      <w:tr w:rsidR="00014376" w:rsidRPr="00C9780C" w:rsidTr="003A2E8C">
        <w:trPr>
          <w:trHeight w:val="315"/>
        </w:trPr>
        <w:tc>
          <w:tcPr>
            <w:tcW w:w="4176" w:type="dxa"/>
            <w:shd w:val="clear" w:color="auto" w:fill="auto"/>
            <w:noWrap/>
            <w:vAlign w:val="bottom"/>
            <w:hideMark/>
          </w:tcPr>
          <w:p w:rsidR="00014376" w:rsidRPr="00C9780C" w:rsidRDefault="00C9780C" w:rsidP="0001437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00014376"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17,189.1</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19,039.0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19,401.0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20,260.0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21,694.0</w:t>
            </w:r>
          </w:p>
        </w:tc>
        <w:tc>
          <w:tcPr>
            <w:tcW w:w="1001"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23,278.0</w:t>
            </w:r>
          </w:p>
        </w:tc>
      </w:tr>
    </w:tbl>
    <w:p w:rsidR="00C9780C" w:rsidRDefault="00C9780C" w:rsidP="00C9780C">
      <w:pPr>
        <w:spacing w:after="0" w:line="276" w:lineRule="auto"/>
        <w:ind w:firstLine="567"/>
        <w:jc w:val="both"/>
        <w:rPr>
          <w:rFonts w:ascii="Sylfaen" w:hAnsi="Sylfaen"/>
          <w:lang w:val="ka-GE"/>
        </w:rPr>
      </w:pP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3 ცხრილში. როგორც ვხედავთ</w:t>
      </w:r>
      <w:r w:rsidR="00C9780C">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გადასახადების ზრდით არის განპირობებული. გადასახადების ზრდა ბუნებრივია უკავშირდება ეკონომიკური ზრდისა და ინფლაციის პროგნოზების ზრდის მიმართულებით </w:t>
      </w:r>
      <w:r w:rsidR="000E4929">
        <w:rPr>
          <w:rFonts w:ascii="Sylfaen" w:hAnsi="Sylfaen"/>
          <w:lang w:val="ka-GE"/>
        </w:rPr>
        <w:t>გადახ</w:t>
      </w:r>
      <w:r w:rsidRPr="00C9780C">
        <w:rPr>
          <w:rFonts w:ascii="Sylfaen" w:hAnsi="Sylfaen"/>
          <w:lang w:val="ka-GE"/>
        </w:rPr>
        <w:t xml:space="preserve">ედვას. </w:t>
      </w: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უნდა აღინიშნოს, რომ საგადასახადო შემოსავლების მიმდინარე პროგნოზში ასახულია აგრეთვე პანდემიურ პერიოდში </w:t>
      </w:r>
      <w:r w:rsidR="00021E8F">
        <w:rPr>
          <w:rFonts w:ascii="Sylfaen" w:hAnsi="Sylfaen"/>
          <w:lang w:val="ka-GE"/>
        </w:rPr>
        <w:t>დ</w:t>
      </w:r>
      <w:r w:rsidRPr="00C9780C">
        <w:rPr>
          <w:rFonts w:ascii="Sylfaen" w:hAnsi="Sylfaen"/>
          <w:lang w:val="ka-GE"/>
        </w:rPr>
        <w:t>აწესებული დროებითი</w:t>
      </w:r>
      <w:r w:rsidR="00C9780C">
        <w:rPr>
          <w:rFonts w:ascii="Sylfaen" w:hAnsi="Sylfaen"/>
          <w:lang w:val="en-GB"/>
        </w:rPr>
        <w:t xml:space="preserve"> </w:t>
      </w:r>
      <w:r w:rsidRPr="00C9780C">
        <w:rPr>
          <w:rFonts w:ascii="Sylfaen" w:hAnsi="Sylfaen"/>
          <w:lang w:val="ka-GE"/>
        </w:rPr>
        <w:t xml:space="preserve">საგადასახადო ღონისძიებების ეფექტიც, რომლებსაც გავლენა </w:t>
      </w:r>
      <w:r w:rsidR="00C9780C">
        <w:rPr>
          <w:rFonts w:ascii="Sylfaen" w:hAnsi="Sylfaen"/>
          <w:lang w:val="ka-GE"/>
        </w:rPr>
        <w:t>ჰ</w:t>
      </w:r>
      <w:r w:rsidRPr="00C9780C">
        <w:rPr>
          <w:rFonts w:ascii="Sylfaen" w:hAnsi="Sylfaen"/>
          <w:lang w:val="ka-GE"/>
        </w:rPr>
        <w:t>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არაფინანსური აქტივების ზრდის მაჩვენებელი, რისი მიზეზიც ერთი მხრივ ჯანდაცვის ხარჯები, ხოლო მეორე მხრივ </w:t>
      </w:r>
      <w:r w:rsidR="000E4929">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C9780C" w:rsidRPr="00C9780C" w:rsidDel="00166AB5" w:rsidRDefault="00C9780C" w:rsidP="00C9780C">
      <w:pPr>
        <w:spacing w:before="240" w:after="0"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014376" w:rsidRPr="00C9780C" w:rsidTr="003A2E8C">
        <w:trPr>
          <w:trHeight w:val="300"/>
        </w:trPr>
        <w:tc>
          <w:tcPr>
            <w:tcW w:w="4320" w:type="dxa"/>
            <w:shd w:val="clear" w:color="auto" w:fill="auto"/>
            <w:noWrap/>
            <w:vAlign w:val="bottom"/>
            <w:hideMark/>
          </w:tcPr>
          <w:p w:rsidR="00014376" w:rsidRPr="00C9780C" w:rsidRDefault="00C9780C" w:rsidP="0001437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00014376" w:rsidRPr="00C9780C">
              <w:rPr>
                <w:rFonts w:ascii="Sylfaen" w:eastAsia="Times New Roman" w:hAnsi="Sylfaen" w:cs="Calibri"/>
                <w:b/>
                <w:bCs/>
                <w:color w:val="000000"/>
                <w:sz w:val="18"/>
                <w:szCs w:val="18"/>
              </w:rPr>
              <w:t>მდინარე ანგარიში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3A2E8C">
        <w:trPr>
          <w:trHeight w:val="2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 xml:space="preserve">მიმდინარე ანგარიში </w:t>
            </w:r>
            <w:r w:rsidR="00C9780C">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-1,542.0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-1,379.9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-1,112.0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-1,174.3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-1,190.5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0.0</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-423.0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-450.2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-824.9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-665.0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-508.6</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-1,324.0</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-971.5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-1,244.9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-1,683.1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-1,551.5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-1,377.2</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-3,365.5</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-27.8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32.5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-37.9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-114.0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-563.4</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576.3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762.3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849.8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924.4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982.7</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szCs w:val="18"/>
              </w:rPr>
            </w:pPr>
            <w:r w:rsidRPr="00C9780C">
              <w:rPr>
                <w:rFonts w:ascii="Sylfaen" w:eastAsia="Times New Roman" w:hAnsi="Sylfaen" w:cs="Calibri"/>
                <w:color w:val="000000"/>
                <w:sz w:val="18"/>
                <w:szCs w:val="18"/>
              </w:rPr>
              <w:t>2,604.9</w:t>
            </w:r>
          </w:p>
        </w:tc>
      </w:tr>
      <w:tr w:rsidR="00014376" w:rsidRPr="00C9780C" w:rsidTr="003A2E8C">
        <w:trPr>
          <w:trHeight w:val="300"/>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sidR="00C9780C">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-1,965.0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-1,830.1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-1,936.9</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-1,839.4</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-1,699.1</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-1,324.0</w:t>
            </w:r>
          </w:p>
        </w:tc>
      </w:tr>
    </w:tbl>
    <w:p w:rsidR="00014376" w:rsidRPr="00C9780C" w:rsidRDefault="00014376" w:rsidP="00014376">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ტრანსფეტრების ბოლოდროინდელი დინამიკა ქმნის.</w:t>
      </w:r>
    </w:p>
    <w:p w:rsid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C9780C" w:rsidRDefault="00C9780C">
      <w:pPr>
        <w:rPr>
          <w:rFonts w:ascii="Sylfaen" w:hAnsi="Sylfaen"/>
          <w:lang w:val="ka-GE"/>
        </w:rPr>
      </w:pPr>
      <w:r>
        <w:rPr>
          <w:rFonts w:ascii="Sylfaen" w:hAnsi="Sylfaen"/>
          <w:lang w:val="ka-GE"/>
        </w:rPr>
        <w:br w:type="page"/>
      </w:r>
    </w:p>
    <w:p w:rsidR="007B6E63" w:rsidRPr="00C9780C" w:rsidRDefault="007B6E63" w:rsidP="007B6E63">
      <w:pPr>
        <w:pStyle w:val="Heading1"/>
        <w:numPr>
          <w:ilvl w:val="0"/>
          <w:numId w:val="1"/>
        </w:numPr>
        <w:rPr>
          <w:rFonts w:ascii="Sylfaen" w:hAnsi="Sylfaen" w:cs="Sylfaen"/>
          <w:b/>
          <w:sz w:val="28"/>
          <w:lang w:val="ka-GE"/>
        </w:rPr>
      </w:pPr>
      <w:bookmarkStart w:id="1" w:name="_Toc76394888"/>
      <w:r w:rsidRPr="00C9780C">
        <w:rPr>
          <w:rFonts w:ascii="Sylfaen" w:hAnsi="Sylfaen" w:cs="Sylfaen"/>
          <w:b/>
          <w:sz w:val="28"/>
          <w:lang w:val="ka-GE"/>
        </w:rPr>
        <w:t>ფისკალური</w:t>
      </w:r>
      <w:r w:rsidRPr="00C9780C">
        <w:rPr>
          <w:rFonts w:ascii="Sylfaen" w:hAnsi="Sylfaen"/>
          <w:b/>
          <w:sz w:val="28"/>
          <w:lang w:val="ka-GE"/>
        </w:rPr>
        <w:t xml:space="preserve"> </w:t>
      </w:r>
      <w:r w:rsidRPr="00C9780C">
        <w:rPr>
          <w:rFonts w:ascii="Sylfaen" w:hAnsi="Sylfaen" w:cs="Sylfaen"/>
          <w:b/>
          <w:sz w:val="28"/>
          <w:lang w:val="ka-GE"/>
        </w:rPr>
        <w:t>ჩარჩო</w:t>
      </w:r>
      <w:r w:rsidR="00370834" w:rsidRPr="00C9780C">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9780C">
        <w:rPr>
          <w:rFonts w:ascii="Sylfaen" w:hAnsi="Sylfaen" w:cs="Sylfaen"/>
          <w:b/>
          <w:sz w:val="28"/>
          <w:lang w:val="ka-GE"/>
        </w:rPr>
        <w:t>პროგნოზი</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76394889"/>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საშუალოვადიანი პარამეტრები დაიგეგმა 2019 წლის ბოლოსათვის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გრძელდებოდა ხარჯების კონსოლიდაციის პოლიტიკა და რესურსები მიმართული იყო საინვესტიციო პროექტების, განათლები</w:t>
      </w:r>
      <w:r w:rsidR="004D1FDB" w:rsidRPr="000E4929">
        <w:rPr>
          <w:rFonts w:ascii="Sylfaen" w:hAnsi="Sylfaen" w:cs="Sylfaen"/>
          <w:lang w:val="ka-GE"/>
        </w:rPr>
        <w:t>ს</w:t>
      </w:r>
      <w:r w:rsidRPr="000E4929">
        <w:rPr>
          <w:rFonts w:ascii="Sylfaen" w:hAnsi="Sylfaen" w:cs="Sylfaen"/>
          <w:lang w:val="ka-GE"/>
        </w:rPr>
        <w:t xml:space="preserve"> რეფორმის და სოციალური დაცვის ღონისძიებებზე.  არსებული მაკროეკონომიკური და ფისკალური პარამეტრების პროგნოზები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AD738A" w:rsidRPr="00C9780C" w:rsidRDefault="00994C04" w:rsidP="00077298">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AD738A" w:rsidRPr="00C9780C">
        <w:rPr>
          <w:rFonts w:ascii="Sylfaen" w:hAnsi="Sylfaen" w:cs="Sylfaen"/>
          <w:lang w:val="ka-GE"/>
        </w:rPr>
        <w:t>2019 წელს დაფიქსირ</w:t>
      </w:r>
      <w:r w:rsidR="00E479A4" w:rsidRPr="00C9780C">
        <w:rPr>
          <w:rFonts w:ascii="Sylfaen" w:hAnsi="Sylfaen" w:cs="Sylfaen"/>
          <w:lang w:val="ka-GE"/>
        </w:rPr>
        <w:t xml:space="preserve">ებული </w:t>
      </w:r>
      <w:r w:rsidR="00AD738A" w:rsidRPr="00C9780C">
        <w:rPr>
          <w:rFonts w:ascii="Sylfaen" w:hAnsi="Sylfaen" w:cs="Sylfaen"/>
          <w:lang w:val="ka-GE"/>
        </w:rPr>
        <w:t>მოსალოდნელზე მაღალი ეკონომიკური ზრდ</w:t>
      </w:r>
      <w:r w:rsidR="00E479A4" w:rsidRPr="00C9780C">
        <w:rPr>
          <w:rFonts w:ascii="Sylfaen" w:hAnsi="Sylfaen" w:cs="Sylfaen"/>
          <w:lang w:val="ka-GE"/>
        </w:rPr>
        <w:t>ის</w:t>
      </w:r>
      <w:r w:rsidR="00AD738A" w:rsidRPr="00C9780C">
        <w:rPr>
          <w:rFonts w:ascii="Sylfaen" w:hAnsi="Sylfaen" w:cs="Sylfaen"/>
          <w:lang w:val="ka-GE"/>
        </w:rPr>
        <w:t xml:space="preserve"> - 5.1%.  </w:t>
      </w:r>
      <w:r w:rsidR="00E479A4" w:rsidRPr="00C9780C">
        <w:rPr>
          <w:rFonts w:ascii="Sylfaen" w:hAnsi="Sylfaen" w:cs="Sylfaen"/>
          <w:lang w:val="ka-GE"/>
        </w:rPr>
        <w:t>და</w:t>
      </w:r>
      <w:r w:rsidR="00AD738A" w:rsidRPr="00C9780C">
        <w:rPr>
          <w:rFonts w:ascii="Sylfaen" w:hAnsi="Sylfaen" w:cs="Sylfaen"/>
          <w:lang w:val="ka-GE"/>
        </w:rPr>
        <w:t xml:space="preserve"> ქვეყნის მიმდინარე ანგარიშის დეფიციტ</w:t>
      </w:r>
      <w:r w:rsidR="00E479A4" w:rsidRPr="00C9780C">
        <w:rPr>
          <w:rFonts w:ascii="Sylfaen" w:hAnsi="Sylfaen" w:cs="Sylfaen"/>
          <w:lang w:val="ka-GE"/>
        </w:rPr>
        <w:t xml:space="preserve">ის </w:t>
      </w:r>
      <w:r w:rsidR="00AD738A" w:rsidRPr="00C9780C">
        <w:rPr>
          <w:rFonts w:ascii="Sylfaen" w:hAnsi="Sylfaen" w:cs="Sylfaen"/>
          <w:lang w:val="ka-GE"/>
        </w:rPr>
        <w:t xml:space="preserve">ისტორიულ </w:t>
      </w:r>
      <w:r w:rsidR="00E479A4" w:rsidRPr="00C9780C">
        <w:rPr>
          <w:rFonts w:ascii="Sylfaen" w:hAnsi="Sylfaen" w:cs="Sylfaen"/>
          <w:lang w:val="ka-GE"/>
        </w:rPr>
        <w:t>დაბალ ნიშნულზე (</w:t>
      </w:r>
      <w:r w:rsidR="00AD738A" w:rsidRPr="00C9780C">
        <w:rPr>
          <w:rFonts w:ascii="Sylfaen" w:hAnsi="Sylfaen" w:cs="Sylfaen"/>
          <w:lang w:val="ka-GE"/>
        </w:rPr>
        <w:t>მშპ-ის 5.1%</w:t>
      </w:r>
      <w:r w:rsidR="00E479A4" w:rsidRPr="00C9780C">
        <w:rPr>
          <w:rFonts w:ascii="Sylfaen" w:hAnsi="Sylfaen" w:cs="Sylfaen"/>
          <w:lang w:val="ka-GE"/>
        </w:rPr>
        <w:t>) დაფიქსირების შემდეგ</w:t>
      </w:r>
      <w:r w:rsidR="0012041B" w:rsidRPr="00C9780C">
        <w:rPr>
          <w:rFonts w:ascii="Sylfaen" w:hAnsi="Sylfaen" w:cs="Sylfaen"/>
          <w:lang w:val="ka-GE"/>
        </w:rPr>
        <w:t>,</w:t>
      </w:r>
      <w:r w:rsidR="00E479A4" w:rsidRPr="00C9780C">
        <w:rPr>
          <w:rFonts w:ascii="Sylfaen" w:hAnsi="Sylfaen" w:cs="Sylfaen"/>
          <w:lang w:val="ka-GE"/>
        </w:rPr>
        <w:t xml:space="preserve"> 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მივიღეთ ეკონომიკურ კლება (მშპ-ის 6.2%) </w:t>
      </w:r>
    </w:p>
    <w:p w:rsidR="0012041B" w:rsidRPr="00C9780C" w:rsidRDefault="0012041B" w:rsidP="00C9780C">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შესაბამისად </w:t>
      </w:r>
      <w:r w:rsidR="00AD738A" w:rsidRPr="00C9780C">
        <w:rPr>
          <w:rFonts w:ascii="Sylfaen" w:hAnsi="Sylfaen" w:cs="Sylfaen"/>
          <w:lang w:val="ka-GE"/>
        </w:rPr>
        <w:t xml:space="preserve">ეკონომიკის შემცირება, ასევე პანდემიის მართვასთან დაკავშირებული </w:t>
      </w:r>
      <w:r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AD738A" w:rsidRPr="00C9780C" w:rsidRDefault="00E479A4" w:rsidP="00C9780C">
      <w:pPr>
        <w:tabs>
          <w:tab w:val="left" w:pos="90"/>
        </w:tabs>
        <w:spacing w:after="0" w:line="276" w:lineRule="auto"/>
        <w:ind w:firstLine="720"/>
        <w:jc w:val="both"/>
        <w:rPr>
          <w:rFonts w:ascii="Sylfaen" w:hAnsi="Sylfaen" w:cs="Sylfaen"/>
        </w:rPr>
      </w:pPr>
      <w:r w:rsidRPr="000E4929">
        <w:rPr>
          <w:rFonts w:ascii="Sylfaen" w:hAnsi="Sylfaen" w:cs="Sylfaen"/>
          <w:lang w:val="ka-GE"/>
        </w:rPr>
        <w:t>2020 წე</w:t>
      </w:r>
      <w:r w:rsidR="0012041B" w:rsidRPr="000E4929">
        <w:rPr>
          <w:rFonts w:ascii="Sylfaen" w:hAnsi="Sylfaen" w:cs="Sylfaen"/>
          <w:lang w:val="ka-GE"/>
        </w:rPr>
        <w:t>ლ</w:t>
      </w:r>
      <w:r w:rsidRPr="000E4929">
        <w:rPr>
          <w:rFonts w:ascii="Sylfaen" w:hAnsi="Sylfaen" w:cs="Sylfaen"/>
          <w:lang w:val="ka-GE"/>
        </w:rPr>
        <w:t xml:space="preserve">ს </w:t>
      </w:r>
      <w:r w:rsidR="00AD738A" w:rsidRPr="000E4929">
        <w:rPr>
          <w:rFonts w:ascii="Sylfaen" w:hAnsi="Sylfaen" w:cs="Sylfaen"/>
          <w:lang w:val="ka-GE"/>
        </w:rPr>
        <w:t xml:space="preserve">საერთაშორისო სავალუტო ფონდთან </w:t>
      </w:r>
      <w:r w:rsidR="000E4929" w:rsidRPr="000E4929">
        <w:rPr>
          <w:rFonts w:ascii="Sylfaen" w:hAnsi="Sylfaen" w:cs="Sylfaen"/>
          <w:lang w:val="ka-GE"/>
        </w:rPr>
        <w:t xml:space="preserve">ანტიკრიზისული გეგმის შემუშავების პროცესში </w:t>
      </w:r>
      <w:r w:rsidR="00AD738A" w:rsidRPr="000E4929">
        <w:rPr>
          <w:rFonts w:ascii="Sylfaen" w:hAnsi="Sylfaen" w:cs="Sylfaen"/>
          <w:lang w:val="ka-GE"/>
        </w:rPr>
        <w:t>შეთანხმ</w:t>
      </w:r>
      <w:r w:rsidR="00975572" w:rsidRPr="000E4929">
        <w:rPr>
          <w:rFonts w:ascii="Sylfaen" w:hAnsi="Sylfaen" w:cs="Sylfaen"/>
          <w:lang w:val="ka-GE"/>
        </w:rPr>
        <w:t>და</w:t>
      </w:r>
      <w:r w:rsidR="003B08BE" w:rsidRPr="000E4929">
        <w:rPr>
          <w:rFonts w:ascii="Sylfaen" w:hAnsi="Sylfaen" w:cs="Sylfaen"/>
          <w:lang w:val="ka-GE"/>
        </w:rPr>
        <w:t xml:space="preserve"> </w:t>
      </w:r>
      <w:r w:rsidR="0005192A" w:rsidRPr="000E4929">
        <w:rPr>
          <w:rFonts w:ascii="Sylfaen" w:hAnsi="Sylfaen" w:cs="Sylfaen"/>
          <w:lang w:val="ka-GE"/>
        </w:rPr>
        <w:t>მაკ</w:t>
      </w:r>
      <w:r w:rsidR="003B08BE" w:rsidRPr="000E4929">
        <w:rPr>
          <w:rFonts w:ascii="Sylfaen" w:hAnsi="Sylfaen" w:cs="Sylfaen"/>
          <w:lang w:val="ka-GE"/>
        </w:rPr>
        <w:t>რ</w:t>
      </w:r>
      <w:r w:rsidR="0005192A" w:rsidRPr="000E4929">
        <w:rPr>
          <w:rFonts w:ascii="Sylfaen" w:hAnsi="Sylfaen" w:cs="Sylfaen"/>
          <w:lang w:val="ka-GE"/>
        </w:rPr>
        <w:t>ო-ფისკალური</w:t>
      </w:r>
      <w:r w:rsidR="003B08BE" w:rsidRPr="000E4929">
        <w:rPr>
          <w:rFonts w:ascii="Sylfaen" w:hAnsi="Sylfaen" w:cs="Sylfaen"/>
          <w:lang w:val="ka-GE"/>
        </w:rPr>
        <w:t xml:space="preserve"> </w:t>
      </w:r>
      <w:r w:rsidR="00AD738A" w:rsidRPr="000E4929">
        <w:rPr>
          <w:rFonts w:ascii="Sylfaen" w:hAnsi="Sylfaen" w:cs="Sylfaen"/>
          <w:lang w:val="ka-GE"/>
        </w:rPr>
        <w:t>ჩარჩო</w:t>
      </w:r>
      <w:r w:rsidR="0005192A" w:rsidRPr="000E4929">
        <w:rPr>
          <w:rFonts w:ascii="Sylfaen" w:hAnsi="Sylfaen" w:cs="Sylfaen"/>
          <w:lang w:val="ka-GE"/>
        </w:rPr>
        <w:t xml:space="preserve">, რომელიც 2020 წლისათვის ეკონომიკური ზრდის შემცირების ფონზე </w:t>
      </w:r>
      <w:r w:rsidR="00AD738A" w:rsidRPr="000E4929">
        <w:rPr>
          <w:rFonts w:ascii="Sylfaen" w:hAnsi="Sylfaen" w:cs="Sylfaen"/>
          <w:lang w:val="ka-GE"/>
        </w:rPr>
        <w:t>ითვალისწინებ</w:t>
      </w:r>
      <w:r w:rsidR="0005192A" w:rsidRPr="000E4929">
        <w:rPr>
          <w:rFonts w:ascii="Sylfaen" w:hAnsi="Sylfaen" w:cs="Sylfaen"/>
          <w:lang w:val="ka-GE"/>
        </w:rPr>
        <w:t xml:space="preserve">და </w:t>
      </w:r>
      <w:r w:rsidR="00AD738A" w:rsidRPr="000E4929">
        <w:rPr>
          <w:rFonts w:ascii="Sylfaen" w:hAnsi="Sylfaen" w:cs="Sylfaen"/>
          <w:lang w:val="ka-GE"/>
        </w:rPr>
        <w:t>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w:t>
      </w:r>
      <w:r w:rsidR="003B08BE" w:rsidRPr="000E4929">
        <w:rPr>
          <w:rFonts w:ascii="Sylfaen" w:hAnsi="Sylfaen" w:cs="Sylfaen"/>
          <w:lang w:val="ka-GE"/>
        </w:rPr>
        <w:t>რ</w:t>
      </w:r>
      <w:r w:rsidR="00AD738A" w:rsidRPr="000E4929">
        <w:rPr>
          <w:rFonts w:ascii="Sylfaen" w:hAnsi="Sylfaen" w:cs="Sylfaen"/>
          <w:lang w:val="ka-GE"/>
        </w:rPr>
        <w:t>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w:t>
      </w:r>
      <w:r w:rsidR="0012041B" w:rsidRPr="000E4929">
        <w:rPr>
          <w:rFonts w:ascii="Sylfaen" w:hAnsi="Sylfaen" w:cs="Sylfaen"/>
          <w:lang w:val="ka-GE"/>
        </w:rPr>
        <w:t xml:space="preserve">, ჯამურად კი 2020-2021 წლებში </w:t>
      </w:r>
      <w:r w:rsidR="0012041B" w:rsidRPr="000E4929">
        <w:rPr>
          <w:rFonts w:ascii="Sylfaen" w:hAnsi="Sylfaen" w:cs="Sylfaen"/>
        </w:rPr>
        <w:t xml:space="preserve">COVID-19 </w:t>
      </w:r>
      <w:r w:rsidR="0012041B" w:rsidRPr="000E4929">
        <w:rPr>
          <w:rFonts w:ascii="Sylfaen" w:hAnsi="Sylfaen" w:cs="Sylfaen"/>
          <w:lang w:val="ka-GE"/>
        </w:rPr>
        <w:t>პანდემიით გამოწვეული ეფექტის პროგნოზი ფისკალურ პარამეტრებზე 7 მლრდ ლარს აჭარბებდა.</w:t>
      </w:r>
      <w:r w:rsidR="00AD738A" w:rsidRPr="000E4929">
        <w:rPr>
          <w:rFonts w:ascii="Sylfaen" w:hAnsi="Sylfaen" w:cs="Sylfaen"/>
          <w:lang w:val="ka-GE"/>
        </w:rPr>
        <w:t xml:space="preserve"> ყოველივე აღნიშნულის შედეგად, </w:t>
      </w:r>
      <w:r w:rsidR="001062A1" w:rsidRPr="000E4929">
        <w:rPr>
          <w:rFonts w:ascii="Sylfaen" w:hAnsi="Sylfaen" w:cs="Sylfaen"/>
          <w:lang w:val="ka-GE"/>
        </w:rPr>
        <w:t>2020 წლის</w:t>
      </w:r>
      <w:r w:rsidR="00AD738A" w:rsidRPr="000E4929">
        <w:rPr>
          <w:rFonts w:ascii="Sylfaen" w:hAnsi="Sylfaen" w:cs="Sylfaen"/>
          <w:lang w:val="ka-GE"/>
        </w:rPr>
        <w:t xml:space="preserve"> ნაერთი ბიუჯეტის დეფიციტის საპროგნოზო მაჩვენებელი 8.5%-ით განისაზღვრ</w:t>
      </w:r>
      <w:r w:rsidR="001062A1" w:rsidRPr="000E4929">
        <w:rPr>
          <w:rFonts w:ascii="Sylfaen" w:hAnsi="Sylfaen" w:cs="Sylfaen"/>
          <w:lang w:val="ka-GE"/>
        </w:rPr>
        <w:t>ა და მომზადდა 2020 წლის სახელმწიფო ბიუჯეტში ცვლილება</w:t>
      </w:r>
      <w:r w:rsidR="00AD738A" w:rsidRPr="000E4929">
        <w:rPr>
          <w:rFonts w:ascii="Sylfaen" w:hAnsi="Sylfaen" w:cs="Sylfaen"/>
          <w:lang w:val="ka-GE"/>
        </w:rPr>
        <w:t>.</w:t>
      </w:r>
      <w:r w:rsidRPr="000E4929">
        <w:rPr>
          <w:rFonts w:ascii="Sylfaen" w:hAnsi="Sylfaen" w:cs="Sylfaen"/>
          <w:lang w:val="ka-GE"/>
        </w:rPr>
        <w:t xml:space="preserve"> 2020 წლის სე</w:t>
      </w:r>
      <w:r w:rsidR="00003140" w:rsidRPr="000E4929">
        <w:rPr>
          <w:rFonts w:ascii="Sylfaen" w:hAnsi="Sylfaen" w:cs="Sylfaen"/>
          <w:lang w:val="ka-GE"/>
        </w:rPr>
        <w:t>ქტემბრიდან საქართველოს პანდემიის გავრცელების გააქტიურებიდან გამომდინარე</w:t>
      </w:r>
      <w:r w:rsidR="00C9780C" w:rsidRPr="000E4929">
        <w:rPr>
          <w:rFonts w:ascii="Sylfaen" w:hAnsi="Sylfaen" w:cs="Sylfaen"/>
          <w:lang w:val="ka-GE"/>
        </w:rPr>
        <w:t>,</w:t>
      </w:r>
      <w:r w:rsidR="00003140" w:rsidRPr="000E4929">
        <w:rPr>
          <w:rFonts w:ascii="Sylfaen" w:hAnsi="Sylfaen" w:cs="Sylfaen"/>
          <w:lang w:val="ka-GE"/>
        </w:rPr>
        <w:t xml:space="preserve"> საჭირო გახდა ანტიკრიზისული გეგმის დამატებითი პაკეტის შემუშავება და შედეგად 2020 წლის დეფიციტმა შეადგინა 9.3%, ხოლო 2021 წელი დაიგეგმა 7.</w:t>
      </w:r>
      <w:r w:rsidR="000E4929" w:rsidRPr="000E4929">
        <w:rPr>
          <w:rFonts w:ascii="Sylfaen" w:hAnsi="Sylfaen" w:cs="Sylfaen"/>
          <w:lang w:val="ka-GE"/>
        </w:rPr>
        <w:t>6</w:t>
      </w:r>
      <w:r w:rsidR="00003140" w:rsidRPr="000E4929">
        <w:rPr>
          <w:rFonts w:ascii="Sylfaen" w:hAnsi="Sylfaen" w:cs="Sylfaen"/>
          <w:lang w:val="ka-GE"/>
        </w:rPr>
        <w:t>% დეფიციტით.</w:t>
      </w:r>
    </w:p>
    <w:p w:rsidR="00131827" w:rsidRPr="00C9780C" w:rsidRDefault="001D1413" w:rsidP="00131827">
      <w:pPr>
        <w:spacing w:line="276" w:lineRule="auto"/>
        <w:ind w:firstLine="567"/>
        <w:jc w:val="both"/>
        <w:rPr>
          <w:rFonts w:ascii="Sylfaen" w:hAnsi="Sylfaen" w:cs="Sylfaen"/>
          <w:bCs/>
          <w:noProof/>
          <w:lang w:val="ka-GE"/>
        </w:rPr>
      </w:pPr>
      <w:r w:rsidRPr="00C9780C">
        <w:rPr>
          <w:rFonts w:ascii="Sylfaen" w:hAnsi="Sylfaen" w:cs="Sylfaen"/>
          <w:bCs/>
          <w:noProof/>
          <w:lang w:val="ka-GE"/>
        </w:rPr>
        <w:t>შემცირებული შემოსავლებისა და ხარჯვითი ნაწილის ზრდის საჭიროებიდან გამომდინარე</w:t>
      </w:r>
      <w:r w:rsidR="00C9780C">
        <w:rPr>
          <w:rFonts w:ascii="Sylfaen" w:hAnsi="Sylfaen" w:cs="Sylfaen"/>
          <w:bCs/>
          <w:noProof/>
          <w:lang w:val="ka-GE"/>
        </w:rPr>
        <w:t>,</w:t>
      </w:r>
      <w:r w:rsidRPr="00C9780C">
        <w:rPr>
          <w:rFonts w:ascii="Sylfaen" w:hAnsi="Sylfaen" w:cs="Sylfaen"/>
          <w:bCs/>
          <w:noProof/>
          <w:lang w:val="ka-GE"/>
        </w:rPr>
        <w:t xml:space="preserve"> </w:t>
      </w:r>
      <w:r w:rsidR="00977AF3" w:rsidRPr="00C9780C">
        <w:rPr>
          <w:rFonts w:ascii="Sylfaen" w:hAnsi="Sylfaen" w:cs="Sylfaen"/>
          <w:bCs/>
          <w:noProof/>
          <w:lang w:val="ka-GE"/>
        </w:rPr>
        <w:t xml:space="preserve">2020-2021 წლებში </w:t>
      </w:r>
      <w:r w:rsidRPr="00C9780C">
        <w:rPr>
          <w:rFonts w:ascii="Sylfaen" w:hAnsi="Sylfaen" w:cs="Sylfaen"/>
          <w:bCs/>
          <w:noProof/>
          <w:lang w:val="ka-GE"/>
        </w:rPr>
        <w:t xml:space="preserve">მობილიზებული იქნა </w:t>
      </w:r>
      <w:r w:rsidR="00977AF3" w:rsidRPr="00C9780C">
        <w:rPr>
          <w:rFonts w:ascii="Sylfaen" w:hAnsi="Sylfaen" w:cs="Sylfaen"/>
          <w:bCs/>
          <w:noProof/>
          <w:lang w:val="ka-GE"/>
        </w:rPr>
        <w:t xml:space="preserve">დამატებითი დონორული </w:t>
      </w:r>
      <w:r w:rsidRPr="00C9780C">
        <w:rPr>
          <w:rFonts w:ascii="Sylfaen" w:hAnsi="Sylfaen" w:cs="Sylfaen"/>
          <w:bCs/>
          <w:noProof/>
          <w:lang w:val="ka-GE"/>
        </w:rPr>
        <w:t>დაფინანსება, როგორც საშინაო ისე საგარეო წყაროებიდან</w:t>
      </w:r>
      <w:r w:rsidR="00131827" w:rsidRPr="00C9780C">
        <w:rPr>
          <w:rFonts w:ascii="Sylfaen" w:hAnsi="Sylfaen" w:cs="Sylfaen"/>
          <w:bCs/>
          <w:noProof/>
          <w:lang w:val="ka-GE"/>
        </w:rPr>
        <w:t>:</w:t>
      </w:r>
    </w:p>
    <w:p w:rsidR="00131827" w:rsidRPr="00C9780C" w:rsidRDefault="00AD738A" w:rsidP="00131827">
      <w:pPr>
        <w:pStyle w:val="ListParagraph"/>
        <w:numPr>
          <w:ilvl w:val="0"/>
          <w:numId w:val="6"/>
        </w:numPr>
        <w:spacing w:line="276" w:lineRule="auto"/>
        <w:jc w:val="both"/>
        <w:rPr>
          <w:rFonts w:ascii="Sylfaen" w:hAnsi="Sylfaen" w:cs="Sylfaen"/>
          <w:bCs/>
          <w:noProof/>
          <w:lang w:val="ka-GE"/>
        </w:rPr>
      </w:pPr>
      <w:r w:rsidRPr="00C9780C">
        <w:rPr>
          <w:rFonts w:ascii="Sylfaen" w:hAnsi="Sylfaen" w:cs="Sylfaen"/>
          <w:bCs/>
          <w:noProof/>
          <w:lang w:val="ka-GE"/>
        </w:rPr>
        <w:t>საშინაო ვალის ზრდ</w:t>
      </w:r>
      <w:r w:rsidR="0009185A" w:rsidRPr="00C9780C">
        <w:rPr>
          <w:rFonts w:ascii="Sylfaen" w:hAnsi="Sylfaen" w:cs="Sylfaen"/>
          <w:bCs/>
          <w:noProof/>
          <w:lang w:val="ka-GE"/>
        </w:rPr>
        <w:t>ამ</w:t>
      </w:r>
      <w:r w:rsidR="00C9780C">
        <w:rPr>
          <w:rFonts w:ascii="Sylfaen" w:hAnsi="Sylfaen" w:cs="Sylfaen"/>
          <w:bCs/>
          <w:noProof/>
          <w:lang w:val="ka-GE"/>
        </w:rPr>
        <w:t xml:space="preserve"> </w:t>
      </w:r>
      <w:r w:rsidR="0009185A" w:rsidRPr="00C9780C">
        <w:rPr>
          <w:rFonts w:ascii="Sylfaen" w:hAnsi="Sylfaen" w:cs="Sylfaen"/>
          <w:bCs/>
          <w:noProof/>
          <w:lang w:val="ka-GE"/>
        </w:rPr>
        <w:t>2020 წელს 2</w:t>
      </w:r>
      <w:r w:rsidRPr="00C9780C">
        <w:rPr>
          <w:rFonts w:ascii="Sylfaen" w:hAnsi="Sylfaen" w:cs="Sylfaen"/>
          <w:bCs/>
          <w:noProof/>
          <w:lang w:val="ka-GE"/>
        </w:rPr>
        <w:t> </w:t>
      </w:r>
      <w:r w:rsidR="0009185A" w:rsidRPr="00C9780C">
        <w:rPr>
          <w:rFonts w:ascii="Sylfaen" w:hAnsi="Sylfaen" w:cs="Sylfaen"/>
          <w:bCs/>
          <w:noProof/>
          <w:lang w:val="ka-GE"/>
        </w:rPr>
        <w:t>026</w:t>
      </w:r>
      <w:r w:rsidRPr="00C9780C">
        <w:rPr>
          <w:rFonts w:ascii="Sylfaen" w:hAnsi="Sylfaen" w:cs="Sylfaen"/>
          <w:bCs/>
          <w:noProof/>
          <w:lang w:val="ka-GE"/>
        </w:rPr>
        <w:t>,0 მლნ ლარ</w:t>
      </w:r>
      <w:r w:rsidR="0009185A" w:rsidRPr="00C9780C">
        <w:rPr>
          <w:rFonts w:ascii="Sylfaen" w:hAnsi="Sylfaen" w:cs="Sylfaen"/>
          <w:bCs/>
          <w:noProof/>
          <w:lang w:val="ka-GE"/>
        </w:rPr>
        <w:t>ს მიაღწია</w:t>
      </w:r>
      <w:r w:rsidRPr="00C9780C">
        <w:rPr>
          <w:rFonts w:ascii="Sylfaen" w:hAnsi="Sylfaen" w:cs="Sylfaen"/>
          <w:bCs/>
          <w:noProof/>
          <w:lang w:val="ka-GE"/>
        </w:rPr>
        <w:t>, მათ შორის 600,0 მლნ ლარ</w:t>
      </w:r>
      <w:r w:rsidR="0009185A" w:rsidRPr="00C9780C">
        <w:rPr>
          <w:rFonts w:ascii="Sylfaen" w:hAnsi="Sylfaen" w:cs="Sylfaen"/>
          <w:bCs/>
          <w:noProof/>
          <w:lang w:val="ka-GE"/>
        </w:rPr>
        <w:t xml:space="preserve">ამდე </w:t>
      </w:r>
      <w:r w:rsidRPr="00C9780C">
        <w:rPr>
          <w:rFonts w:ascii="Sylfaen" w:hAnsi="Sylfaen" w:cs="Sylfaen"/>
          <w:bCs/>
          <w:noProof/>
          <w:lang w:val="ka-GE"/>
        </w:rPr>
        <w:t xml:space="preserve">გრძელვადიანი ლარის ლიკვიდურობის მიზნით </w:t>
      </w:r>
      <w:r w:rsidR="0009185A" w:rsidRPr="00C9780C">
        <w:rPr>
          <w:rFonts w:ascii="Sylfaen" w:hAnsi="Sylfaen" w:cs="Sylfaen"/>
          <w:bCs/>
          <w:noProof/>
          <w:lang w:val="ka-GE"/>
        </w:rPr>
        <w:t xml:space="preserve">იქნა </w:t>
      </w:r>
      <w:r w:rsidRPr="00C9780C">
        <w:rPr>
          <w:rFonts w:ascii="Sylfaen" w:hAnsi="Sylfaen" w:cs="Sylfaen"/>
          <w:bCs/>
          <w:noProof/>
          <w:lang w:val="ka-GE"/>
        </w:rPr>
        <w:t>გამოშვებული და</w:t>
      </w:r>
      <w:r w:rsidR="0009185A" w:rsidRPr="00C9780C">
        <w:rPr>
          <w:rFonts w:ascii="Sylfaen" w:hAnsi="Sylfaen" w:cs="Sylfaen"/>
          <w:bCs/>
          <w:noProof/>
          <w:lang w:val="ka-GE"/>
        </w:rPr>
        <w:t xml:space="preserve"> განთავსდა კომერციული</w:t>
      </w:r>
      <w:r w:rsidRPr="00C9780C">
        <w:rPr>
          <w:rFonts w:ascii="Sylfaen" w:hAnsi="Sylfaen" w:cs="Sylfaen"/>
          <w:bCs/>
          <w:noProof/>
          <w:lang w:val="ka-GE"/>
        </w:rPr>
        <w:t xml:space="preserve"> ბანკების სადეპოზიტო სერთიფიკატებში;</w:t>
      </w:r>
    </w:p>
    <w:p w:rsidR="00AD738A" w:rsidRPr="000E4929" w:rsidRDefault="0009185A" w:rsidP="00131827">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 xml:space="preserve">2020 წელს </w:t>
      </w:r>
      <w:r w:rsidR="00AD738A" w:rsidRPr="000E4929">
        <w:rPr>
          <w:rFonts w:ascii="Sylfaen" w:hAnsi="Sylfaen" w:cs="Sylfaen"/>
          <w:bCs/>
          <w:noProof/>
          <w:lang w:val="ka-GE"/>
        </w:rPr>
        <w:t>საგარეო ვალის ზრდა</w:t>
      </w:r>
      <w:r w:rsidR="00C9780C" w:rsidRPr="000E4929">
        <w:rPr>
          <w:rFonts w:ascii="Sylfaen" w:hAnsi="Sylfaen" w:cs="Sylfaen"/>
          <w:bCs/>
          <w:noProof/>
          <w:lang w:val="ka-GE"/>
        </w:rPr>
        <w:t>მ</w:t>
      </w:r>
      <w:r w:rsidR="00AD738A" w:rsidRPr="000E4929">
        <w:rPr>
          <w:rFonts w:ascii="Sylfaen" w:hAnsi="Sylfaen" w:cs="Sylfaen"/>
          <w:bCs/>
          <w:noProof/>
          <w:lang w:val="ka-GE"/>
        </w:rPr>
        <w:t xml:space="preserve"> </w:t>
      </w:r>
      <w:r w:rsidRPr="000E4929">
        <w:rPr>
          <w:rFonts w:ascii="Sylfaen" w:hAnsi="Sylfaen" w:cs="Sylfaen"/>
          <w:bCs/>
          <w:noProof/>
          <w:lang w:val="ka-GE"/>
        </w:rPr>
        <w:t>მიაღწია 5</w:t>
      </w:r>
      <w:r w:rsidR="00AD738A" w:rsidRPr="000E4929">
        <w:rPr>
          <w:rFonts w:ascii="Sylfaen" w:hAnsi="Sylfaen" w:cs="Sylfaen"/>
          <w:bCs/>
          <w:noProof/>
          <w:lang w:val="ka-GE"/>
        </w:rPr>
        <w:t> </w:t>
      </w:r>
      <w:r w:rsidRPr="000E4929">
        <w:rPr>
          <w:rFonts w:ascii="Sylfaen" w:hAnsi="Sylfaen" w:cs="Sylfaen"/>
          <w:bCs/>
          <w:noProof/>
          <w:lang w:val="ka-GE"/>
        </w:rPr>
        <w:t>264</w:t>
      </w:r>
      <w:r w:rsidR="00AD738A" w:rsidRPr="000E4929">
        <w:rPr>
          <w:rFonts w:ascii="Sylfaen" w:hAnsi="Sylfaen" w:cs="Sylfaen"/>
          <w:bCs/>
          <w:noProof/>
          <w:lang w:val="ka-GE"/>
        </w:rPr>
        <w:t>,</w:t>
      </w:r>
      <w:r w:rsidRPr="000E4929">
        <w:rPr>
          <w:rFonts w:ascii="Sylfaen" w:hAnsi="Sylfaen" w:cs="Sylfaen"/>
          <w:bCs/>
          <w:noProof/>
          <w:lang w:val="ka-GE"/>
        </w:rPr>
        <w:t>3</w:t>
      </w:r>
      <w:r w:rsidR="00AD738A" w:rsidRPr="000E4929">
        <w:rPr>
          <w:rFonts w:ascii="Sylfaen" w:hAnsi="Sylfaen" w:cs="Sylfaen"/>
          <w:bCs/>
          <w:noProof/>
          <w:lang w:val="ka-GE"/>
        </w:rPr>
        <w:t xml:space="preserve"> მლნ ლარ</w:t>
      </w:r>
      <w:r w:rsidRPr="000E4929">
        <w:rPr>
          <w:rFonts w:ascii="Sylfaen" w:hAnsi="Sylfaen" w:cs="Sylfaen"/>
          <w:bCs/>
          <w:noProof/>
          <w:lang w:val="ka-GE"/>
        </w:rPr>
        <w:t>ს</w:t>
      </w:r>
      <w:r w:rsidR="00AD738A" w:rsidRPr="000E4929">
        <w:rPr>
          <w:rFonts w:ascii="Sylfaen" w:hAnsi="Sylfaen" w:cs="Sylfaen"/>
          <w:bCs/>
          <w:noProof/>
          <w:lang w:val="ka-GE"/>
        </w:rPr>
        <w:t xml:space="preserve"> (საერთაშორისო პარტნიორებიდან დამატებით მოზიდული თანხების ჩათვლით</w:t>
      </w:r>
      <w:r w:rsidR="00977AF3" w:rsidRPr="000E4929">
        <w:rPr>
          <w:rFonts w:ascii="Sylfaen" w:hAnsi="Sylfaen" w:cs="Sylfaen"/>
          <w:bCs/>
          <w:noProof/>
          <w:lang w:val="ka-GE"/>
        </w:rPr>
        <w:t>)</w:t>
      </w:r>
      <w:r w:rsidR="00AD738A" w:rsidRPr="000E4929">
        <w:rPr>
          <w:rFonts w:ascii="Sylfaen" w:hAnsi="Sylfaen" w:cs="Sylfaen"/>
          <w:bCs/>
          <w:noProof/>
          <w:lang w:val="ka-GE"/>
        </w:rPr>
        <w:t>;</w:t>
      </w:r>
    </w:p>
    <w:p w:rsidR="00977AF3" w:rsidRPr="000E4929" w:rsidRDefault="00977AF3" w:rsidP="00131827">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2021 წელს გრძელდება 2020 წელს მოზიდული დონორების დაფინანსების ათვისება, ამასთან</w:t>
      </w:r>
      <w:r w:rsidR="00C9780C" w:rsidRPr="000E4929">
        <w:rPr>
          <w:rFonts w:ascii="Sylfaen" w:hAnsi="Sylfaen" w:cs="Sylfaen"/>
          <w:bCs/>
          <w:noProof/>
          <w:lang w:val="ka-GE"/>
        </w:rPr>
        <w:t>,</w:t>
      </w:r>
      <w:r w:rsidRPr="000E4929">
        <w:rPr>
          <w:rFonts w:ascii="Sylfaen" w:hAnsi="Sylfaen" w:cs="Sylfaen"/>
          <w:bCs/>
          <w:noProof/>
          <w:lang w:val="ka-GE"/>
        </w:rPr>
        <w:t xml:space="preserve"> 2021 წელს განხორციელდა 2011 წელს გამოშვებული ევრობონდის გადაფრვა და ახალი 5 წლიანი ევრობონდი</w:t>
      </w:r>
      <w:r w:rsidR="00C9780C" w:rsidRPr="000E4929">
        <w:rPr>
          <w:rFonts w:ascii="Sylfaen" w:hAnsi="Sylfaen" w:cs="Sylfaen"/>
          <w:bCs/>
          <w:noProof/>
          <w:lang w:val="ka-GE"/>
        </w:rPr>
        <w:t>ს</w:t>
      </w:r>
      <w:r w:rsidRPr="000E4929">
        <w:rPr>
          <w:rFonts w:ascii="Sylfaen" w:hAnsi="Sylfaen" w:cs="Sylfaen"/>
          <w:bCs/>
          <w:noProof/>
          <w:lang w:val="ka-GE"/>
        </w:rPr>
        <w:t xml:space="preserve"> განთა</w:t>
      </w:r>
      <w:r w:rsidR="00C665F9" w:rsidRPr="000E4929">
        <w:rPr>
          <w:rFonts w:ascii="Sylfaen" w:hAnsi="Sylfaen" w:cs="Sylfaen"/>
          <w:bCs/>
          <w:noProof/>
          <w:lang w:val="ka-GE"/>
        </w:rPr>
        <w:t>ვ</w:t>
      </w:r>
      <w:r w:rsidRPr="000E4929">
        <w:rPr>
          <w:rFonts w:ascii="Sylfaen" w:hAnsi="Sylfaen" w:cs="Sylfaen"/>
          <w:bCs/>
          <w:noProof/>
          <w:lang w:val="ka-GE"/>
        </w:rPr>
        <w:t>სება</w:t>
      </w:r>
      <w:r w:rsidR="00C9780C" w:rsidRPr="000E4929">
        <w:rPr>
          <w:rFonts w:ascii="Sylfaen" w:hAnsi="Sylfaen" w:cs="Sylfaen"/>
          <w:bCs/>
          <w:noProof/>
          <w:lang w:val="ka-GE"/>
        </w:rPr>
        <w:t>.</w:t>
      </w:r>
      <w:r w:rsidRPr="000E4929">
        <w:rPr>
          <w:rFonts w:ascii="Sylfaen" w:hAnsi="Sylfaen" w:cs="Sylfaen"/>
          <w:bCs/>
          <w:noProof/>
          <w:lang w:val="ka-GE"/>
        </w:rPr>
        <w:t xml:space="preserve"> შედეგად 2021 წე</w:t>
      </w:r>
      <w:r w:rsidR="00C9780C" w:rsidRPr="000E4929">
        <w:rPr>
          <w:rFonts w:ascii="Sylfaen" w:hAnsi="Sylfaen" w:cs="Sylfaen"/>
          <w:bCs/>
          <w:noProof/>
          <w:lang w:val="ka-GE"/>
        </w:rPr>
        <w:t>ლ</w:t>
      </w:r>
      <w:r w:rsidRPr="000E4929">
        <w:rPr>
          <w:rFonts w:ascii="Sylfaen" w:hAnsi="Sylfaen" w:cs="Sylfaen"/>
          <w:bCs/>
          <w:noProof/>
          <w:lang w:val="ka-GE"/>
        </w:rPr>
        <w:t>ს საგარეო ვალდებულების წმინდა ზრდა პროგნოზირებულია 2 580 მლნ ლარის ფარგლებში (მათ შორის ვალის აღება 5</w:t>
      </w:r>
      <w:r w:rsidR="00C9780C" w:rsidRPr="000E4929">
        <w:rPr>
          <w:rFonts w:ascii="Sylfaen" w:hAnsi="Sylfaen" w:cs="Sylfaen"/>
          <w:bCs/>
          <w:noProof/>
          <w:lang w:val="ka-GE"/>
        </w:rPr>
        <w:t xml:space="preserve"> </w:t>
      </w:r>
      <w:r w:rsidRPr="000E4929">
        <w:rPr>
          <w:rFonts w:ascii="Sylfaen" w:hAnsi="Sylfaen" w:cs="Sylfaen"/>
          <w:bCs/>
          <w:noProof/>
          <w:lang w:val="ka-GE"/>
        </w:rPr>
        <w:t xml:space="preserve">274 მლნ ლარი, ხოლო </w:t>
      </w:r>
      <w:r w:rsidR="00C665F9" w:rsidRPr="000E4929">
        <w:rPr>
          <w:rFonts w:ascii="Sylfaen" w:hAnsi="Sylfaen" w:cs="Sylfaen"/>
          <w:bCs/>
          <w:noProof/>
          <w:lang w:val="ka-GE"/>
        </w:rPr>
        <w:t xml:space="preserve">ძირის </w:t>
      </w:r>
      <w:r w:rsidRPr="000E4929">
        <w:rPr>
          <w:rFonts w:ascii="Sylfaen" w:hAnsi="Sylfaen" w:cs="Sylfaen"/>
          <w:bCs/>
          <w:noProof/>
          <w:lang w:val="ka-GE"/>
        </w:rPr>
        <w:t>დაფარვა 2 694 მლნ ლარი</w:t>
      </w:r>
      <w:r w:rsidR="00C665F9" w:rsidRPr="000E4929">
        <w:rPr>
          <w:rFonts w:ascii="Sylfaen" w:hAnsi="Sylfaen" w:cs="Sylfaen"/>
          <w:bCs/>
          <w:noProof/>
          <w:lang w:val="ka-GE"/>
        </w:rPr>
        <w:t>. როგორც ვალის აღ</w:t>
      </w:r>
      <w:r w:rsidR="00C9780C" w:rsidRPr="000E4929">
        <w:rPr>
          <w:rFonts w:ascii="Sylfaen" w:hAnsi="Sylfaen" w:cs="Sylfaen"/>
          <w:bCs/>
          <w:noProof/>
          <w:lang w:val="ka-GE"/>
        </w:rPr>
        <w:t>ე</w:t>
      </w:r>
      <w:r w:rsidR="00C665F9" w:rsidRPr="000E4929">
        <w:rPr>
          <w:rFonts w:ascii="Sylfaen" w:hAnsi="Sylfaen" w:cs="Sylfaen"/>
          <w:bCs/>
          <w:noProof/>
          <w:lang w:val="ka-GE"/>
        </w:rPr>
        <w:t>ბაში, ისე დაფარვ</w:t>
      </w:r>
      <w:r w:rsidR="00C9780C" w:rsidRPr="000E4929">
        <w:rPr>
          <w:rFonts w:ascii="Sylfaen" w:hAnsi="Sylfaen" w:cs="Sylfaen"/>
          <w:bCs/>
          <w:noProof/>
          <w:lang w:val="ka-GE"/>
        </w:rPr>
        <w:t>ი</w:t>
      </w:r>
      <w:r w:rsidR="00C665F9" w:rsidRPr="000E4929">
        <w:rPr>
          <w:rFonts w:ascii="Sylfaen" w:hAnsi="Sylfaen" w:cs="Sylfaen"/>
          <w:bCs/>
          <w:noProof/>
          <w:lang w:val="ka-GE"/>
        </w:rPr>
        <w:t xml:space="preserve">ს ნაწილში  ასახულია 1.7 მლრდ ლარი ევრობონდის </w:t>
      </w:r>
      <w:r w:rsidR="000E4929" w:rsidRPr="000E4929">
        <w:rPr>
          <w:rFonts w:ascii="Sylfaen" w:hAnsi="Sylfaen" w:cs="Sylfaen"/>
          <w:bCs/>
          <w:noProof/>
          <w:lang w:val="ka-GE"/>
        </w:rPr>
        <w:t>რეფინანსირებისთვი</w:t>
      </w:r>
      <w:r w:rsidR="00C665F9" w:rsidRPr="000E4929">
        <w:rPr>
          <w:rFonts w:ascii="Sylfaen" w:hAnsi="Sylfaen" w:cs="Sylfaen"/>
          <w:bCs/>
          <w:noProof/>
          <w:lang w:val="ka-GE"/>
        </w:rPr>
        <w:t>ს)</w:t>
      </w:r>
      <w:r w:rsidR="00C9780C" w:rsidRPr="000E4929">
        <w:rPr>
          <w:rFonts w:ascii="Sylfaen" w:hAnsi="Sylfaen" w:cs="Sylfaen"/>
          <w:bCs/>
          <w:noProof/>
          <w:lang w:val="ka-GE"/>
        </w:rPr>
        <w:t>;</w:t>
      </w:r>
    </w:p>
    <w:p w:rsidR="00C665F9" w:rsidRPr="000E4929" w:rsidRDefault="00C665F9" w:rsidP="00131827">
      <w:pPr>
        <w:pStyle w:val="ListParagraph"/>
        <w:numPr>
          <w:ilvl w:val="0"/>
          <w:numId w:val="6"/>
        </w:numPr>
        <w:spacing w:line="276" w:lineRule="auto"/>
        <w:jc w:val="both"/>
        <w:rPr>
          <w:rFonts w:ascii="Sylfaen" w:hAnsi="Sylfaen" w:cs="Sylfaen"/>
          <w:bCs/>
          <w:noProof/>
          <w:lang w:val="ka-GE"/>
        </w:rPr>
      </w:pPr>
      <w:r w:rsidRPr="000E4929">
        <w:rPr>
          <w:rFonts w:ascii="Sylfaen" w:hAnsi="Sylfaen" w:cs="Sylfaen"/>
          <w:bCs/>
          <w:noProof/>
          <w:lang w:val="ka-GE"/>
        </w:rPr>
        <w:t>2021 წელს საშინაო ვალი</w:t>
      </w:r>
      <w:r w:rsidR="009C4B89" w:rsidRPr="000E4929">
        <w:rPr>
          <w:rFonts w:ascii="Sylfaen" w:hAnsi="Sylfaen" w:cs="Sylfaen"/>
          <w:bCs/>
          <w:noProof/>
          <w:lang w:val="ka-GE"/>
        </w:rPr>
        <w:t>ს</w:t>
      </w:r>
      <w:r w:rsidRPr="000E4929">
        <w:rPr>
          <w:rFonts w:ascii="Sylfaen" w:hAnsi="Sylfaen" w:cs="Sylfaen"/>
          <w:bCs/>
          <w:noProof/>
          <w:lang w:val="ka-GE"/>
        </w:rPr>
        <w:t xml:space="preserve"> წმინდა ზრდა თავდაპირველად დაგეგმილი არ იყო, განახლებული პროგნოზით კი მოხდება საშინა</w:t>
      </w:r>
      <w:r w:rsidR="00C9780C" w:rsidRPr="000E4929">
        <w:rPr>
          <w:rFonts w:ascii="Sylfaen" w:hAnsi="Sylfaen" w:cs="Sylfaen"/>
          <w:bCs/>
          <w:noProof/>
          <w:lang w:val="ka-GE"/>
        </w:rPr>
        <w:t>ო</w:t>
      </w:r>
      <w:r w:rsidRPr="000E4929">
        <w:rPr>
          <w:rFonts w:ascii="Sylfaen" w:hAnsi="Sylfaen" w:cs="Sylfaen"/>
          <w:bCs/>
          <w:noProof/>
          <w:lang w:val="ka-GE"/>
        </w:rPr>
        <w:t xml:space="preserve"> ვალის შემცირება 150.0 მლნ ლარით. დონორებისგან მოზიდული რესურსების გათვალისწინებით</w:t>
      </w:r>
      <w:r w:rsidR="00C9780C" w:rsidRPr="000E4929">
        <w:rPr>
          <w:rFonts w:ascii="Sylfaen" w:hAnsi="Sylfaen" w:cs="Sylfaen"/>
          <w:bCs/>
          <w:noProof/>
          <w:lang w:val="ka-GE"/>
        </w:rPr>
        <w:t>,</w:t>
      </w:r>
      <w:r w:rsidRPr="000E4929">
        <w:rPr>
          <w:rFonts w:ascii="Sylfaen" w:hAnsi="Sylfaen" w:cs="Sylfaen"/>
          <w:bCs/>
          <w:noProof/>
          <w:lang w:val="ka-GE"/>
        </w:rPr>
        <w:t xml:space="preserve"> საშინაო  ვალის აღების მოცულობები შემცირებულია, თუმცა საქართველოს ფინანსთა სამინისტრო მუშაობს სახელმწიფო ვალის სტრატეგიის განახლებაზე</w:t>
      </w:r>
      <w:r w:rsidR="000E4929" w:rsidRPr="000E4929">
        <w:rPr>
          <w:rFonts w:ascii="Sylfaen" w:hAnsi="Sylfaen" w:cs="Sylfaen"/>
          <w:bCs/>
          <w:noProof/>
          <w:lang w:val="ka-GE"/>
        </w:rPr>
        <w:t>, რომლის მიხედვითაც განხორციელდება მომდევნო წლების დეფიციტის დაფინანსების წყაროების განსაზღვრა</w:t>
      </w:r>
      <w:r w:rsidRPr="000E4929">
        <w:rPr>
          <w:rFonts w:ascii="Sylfaen" w:hAnsi="Sylfaen" w:cs="Sylfaen"/>
          <w:bCs/>
          <w:noProof/>
          <w:lang w:val="ka-GE"/>
        </w:rPr>
        <w:t>.</w:t>
      </w:r>
    </w:p>
    <w:p w:rsidR="003A2E8C" w:rsidRDefault="00AD738A"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9780C">
        <w:rPr>
          <w:rFonts w:ascii="Sylfaen" w:hAnsi="Sylfaen" w:cs="Sylfaen"/>
          <w:bCs/>
          <w:noProof/>
          <w:sz w:val="22"/>
          <w:szCs w:val="22"/>
          <w:lang w:val="ka-GE"/>
        </w:rPr>
        <w:tab/>
      </w: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AD738A" w:rsidRPr="00C9780C" w:rsidRDefault="00AD738A" w:rsidP="00C9780C">
      <w:pPr>
        <w:spacing w:after="0" w:line="276" w:lineRule="auto"/>
        <w:ind w:firstLine="720"/>
        <w:jc w:val="both"/>
        <w:rPr>
          <w:rFonts w:ascii="Sylfaen" w:hAnsi="Sylfaen" w:cs="Sylfaen"/>
          <w:b/>
          <w:lang w:val="ka-GE"/>
        </w:rPr>
      </w:pPr>
      <w:r w:rsidRPr="00C9780C">
        <w:rPr>
          <w:rFonts w:ascii="Sylfaen" w:hAnsi="Sylfaen" w:cs="Sylfaen"/>
          <w:lang w:val="ka-GE"/>
        </w:rPr>
        <w:t>202</w:t>
      </w:r>
      <w:r w:rsidR="0009185A" w:rsidRPr="00C9780C">
        <w:rPr>
          <w:rFonts w:ascii="Sylfaen" w:hAnsi="Sylfaen" w:cs="Sylfaen"/>
          <w:lang w:val="ka-GE"/>
        </w:rPr>
        <w:t>2</w:t>
      </w:r>
      <w:r w:rsidRPr="00C9780C">
        <w:rPr>
          <w:rFonts w:ascii="Sylfaen" w:hAnsi="Sylfaen" w:cs="Sylfaen"/>
          <w:lang w:val="ka-GE"/>
        </w:rPr>
        <w:t>-202</w:t>
      </w:r>
      <w:r w:rsidR="0009185A" w:rsidRPr="00C9780C">
        <w:rPr>
          <w:rFonts w:ascii="Sylfaen" w:hAnsi="Sylfaen" w:cs="Sylfaen"/>
          <w:lang w:val="ka-GE"/>
        </w:rPr>
        <w:t>5</w:t>
      </w:r>
      <w:r w:rsidRPr="00C9780C">
        <w:rPr>
          <w:rFonts w:ascii="Sylfaen" w:hAnsi="Sylfaen" w:cs="Sylfaen"/>
          <w:lang w:val="ka-GE"/>
        </w:rPr>
        <w:t xml:space="preserve"> წლების წარმოდგენილ მონაცემებში ასახულია 20</w:t>
      </w:r>
      <w:r w:rsidR="0009185A" w:rsidRPr="00C9780C">
        <w:rPr>
          <w:rFonts w:ascii="Sylfaen" w:hAnsi="Sylfaen" w:cs="Sylfaen"/>
          <w:lang w:val="ka-GE"/>
        </w:rPr>
        <w:t>20</w:t>
      </w:r>
      <w:r w:rsidRPr="00C9780C">
        <w:rPr>
          <w:rFonts w:ascii="Sylfaen" w:hAnsi="Sylfaen" w:cs="Sylfaen"/>
          <w:lang w:val="ka-GE"/>
        </w:rPr>
        <w:t xml:space="preserve"> წლის ფაქტიური მაჩვენებლებიდან და მიმდინარე მოვლენებიდან გამომდინარე გადამუშ</w:t>
      </w:r>
      <w:r w:rsidR="00044987" w:rsidRPr="00C9780C">
        <w:rPr>
          <w:rFonts w:ascii="Sylfaen" w:hAnsi="Sylfaen" w:cs="Sylfaen"/>
          <w:lang w:val="ka-GE"/>
        </w:rPr>
        <w:t>ა</w:t>
      </w:r>
      <w:r w:rsidRPr="00C9780C">
        <w:rPr>
          <w:rFonts w:ascii="Sylfaen" w:hAnsi="Sylfaen" w:cs="Sylfaen"/>
          <w:lang w:val="ka-GE"/>
        </w:rPr>
        <w:t>ვებული 202</w:t>
      </w:r>
      <w:r w:rsidR="0009185A" w:rsidRPr="00C9780C">
        <w:rPr>
          <w:rFonts w:ascii="Sylfaen" w:hAnsi="Sylfaen" w:cs="Sylfaen"/>
          <w:lang w:val="ka-GE"/>
        </w:rPr>
        <w:t>1</w:t>
      </w:r>
      <w:r w:rsidRPr="00C9780C">
        <w:rPr>
          <w:rFonts w:ascii="Sylfaen" w:hAnsi="Sylfaen" w:cs="Sylfaen"/>
          <w:lang w:val="ka-GE"/>
        </w:rPr>
        <w:t>-202</w:t>
      </w:r>
      <w:r w:rsidR="0009185A" w:rsidRPr="00C9780C">
        <w:rPr>
          <w:rFonts w:ascii="Sylfaen" w:hAnsi="Sylfaen" w:cs="Sylfaen"/>
          <w:lang w:val="ka-GE"/>
        </w:rPr>
        <w:t>4</w:t>
      </w:r>
      <w:r w:rsidRPr="00C9780C">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w:t>
      </w:r>
      <w:r w:rsidR="00C665F9" w:rsidRPr="00C9780C">
        <w:rPr>
          <w:rFonts w:ascii="Sylfaen" w:hAnsi="Sylfaen" w:cs="Sylfaen"/>
          <w:lang w:val="ka-GE"/>
        </w:rPr>
        <w:t xml:space="preserve"> კვლავ</w:t>
      </w:r>
      <w:r w:rsidRPr="00C9780C">
        <w:rPr>
          <w:rFonts w:ascii="Sylfaen" w:hAnsi="Sylfaen" w:cs="Sylfaen"/>
          <w:lang w:val="ka-GE"/>
        </w:rPr>
        <w:t xml:space="preserve"> მიმდინარე პანდემიის ფონზე</w:t>
      </w:r>
      <w:r w:rsidR="0009185A" w:rsidRPr="00C9780C">
        <w:rPr>
          <w:rFonts w:ascii="Sylfaen" w:hAnsi="Sylfaen" w:cs="Sylfaen"/>
          <w:lang w:val="ka-GE"/>
        </w:rPr>
        <w:t xml:space="preserve">.  </w:t>
      </w:r>
    </w:p>
    <w:p w:rsidR="00976C5B" w:rsidRPr="000E4929" w:rsidRDefault="005B365D" w:rsidP="00C9780C">
      <w:pPr>
        <w:spacing w:after="0" w:line="276" w:lineRule="auto"/>
        <w:ind w:firstLine="567"/>
        <w:jc w:val="both"/>
        <w:rPr>
          <w:rFonts w:ascii="Sylfaen" w:hAnsi="Sylfaen" w:cs="Sylfaen"/>
          <w:lang w:val="ka-GE"/>
        </w:rPr>
      </w:pPr>
      <w:r w:rsidRPr="00C9780C">
        <w:rPr>
          <w:rFonts w:ascii="Sylfaen" w:hAnsi="Sylfaen" w:cs="Sylfaen"/>
          <w:lang w:val="ka-GE"/>
        </w:rPr>
        <w:t xml:space="preserve">2021-2024 წლების საშუალოვადიანი პროგნოზების მიმდინარე </w:t>
      </w:r>
      <w:r w:rsidR="00902BC5" w:rsidRPr="00C9780C">
        <w:rPr>
          <w:rFonts w:ascii="Sylfaen" w:hAnsi="Sylfaen" w:cs="Sylfaen"/>
          <w:lang w:val="ka-GE"/>
        </w:rPr>
        <w:t xml:space="preserve">განახლებაში ასახულია 2020 წელს შემოსავლების </w:t>
      </w:r>
      <w:r w:rsidR="0009185A" w:rsidRPr="00C9780C">
        <w:rPr>
          <w:rFonts w:ascii="Sylfaen" w:hAnsi="Sylfaen" w:cs="Sylfaen"/>
          <w:lang w:val="ka-GE"/>
        </w:rPr>
        <w:t>ფაქტიური</w:t>
      </w:r>
      <w:r w:rsidR="00902BC5" w:rsidRPr="00C9780C">
        <w:rPr>
          <w:rFonts w:ascii="Sylfaen" w:hAnsi="Sylfaen" w:cs="Sylfaen"/>
          <w:lang w:val="ka-GE"/>
        </w:rPr>
        <w:t xml:space="preserve"> დანაკლისი</w:t>
      </w:r>
      <w:r w:rsidR="00C665F9" w:rsidRPr="00C9780C">
        <w:rPr>
          <w:rFonts w:ascii="Sylfaen" w:hAnsi="Sylfaen" w:cs="Sylfaen"/>
          <w:lang w:val="ka-GE"/>
        </w:rPr>
        <w:t>ს ეფექტი,</w:t>
      </w:r>
      <w:r w:rsidR="00902BC5" w:rsidRPr="00C9780C">
        <w:rPr>
          <w:rFonts w:ascii="Sylfaen" w:hAnsi="Sylfaen" w:cs="Sylfaen"/>
          <w:lang w:val="ka-GE"/>
        </w:rPr>
        <w:t xml:space="preserve"> 2021 წლის პროგნოზ</w:t>
      </w:r>
      <w:r w:rsidR="0009185A" w:rsidRPr="00C9780C">
        <w:rPr>
          <w:rFonts w:ascii="Sylfaen" w:hAnsi="Sylfaen" w:cs="Sylfaen"/>
          <w:lang w:val="ka-GE"/>
        </w:rPr>
        <w:t xml:space="preserve">ები კი ითვალისწინებს 2021 წლის პირველ ნახევარში დაფიქსირებულ ეკონომიკური ზრდის დადებით ტენდენციებს და </w:t>
      </w:r>
      <w:r w:rsidR="00304B4F" w:rsidRPr="00C9780C">
        <w:rPr>
          <w:rFonts w:ascii="Sylfaen" w:hAnsi="Sylfaen" w:cs="Sylfaen"/>
          <w:lang w:val="ka-GE"/>
        </w:rPr>
        <w:t xml:space="preserve">2020 წლის ბოლოს პროგნოზირებულ მაჩვენებლებთან შედარებით </w:t>
      </w:r>
      <w:r w:rsidR="0009185A" w:rsidRPr="00C9780C">
        <w:rPr>
          <w:rFonts w:ascii="Sylfaen" w:hAnsi="Sylfaen" w:cs="Sylfaen"/>
          <w:lang w:val="ka-GE"/>
        </w:rPr>
        <w:t>მნიშვნელოვნ</w:t>
      </w:r>
      <w:r w:rsidR="00304B4F" w:rsidRPr="00C9780C">
        <w:rPr>
          <w:rFonts w:ascii="Sylfaen" w:hAnsi="Sylfaen" w:cs="Sylfaen"/>
          <w:lang w:val="ka-GE"/>
        </w:rPr>
        <w:t>ად</w:t>
      </w:r>
      <w:r w:rsidR="0009185A" w:rsidRPr="00C9780C">
        <w:rPr>
          <w:rFonts w:ascii="Sylfaen" w:hAnsi="Sylfaen" w:cs="Sylfaen"/>
          <w:lang w:val="ka-GE"/>
        </w:rPr>
        <w:t xml:space="preserve"> </w:t>
      </w:r>
      <w:r w:rsidR="00304B4F" w:rsidRPr="00C9780C">
        <w:rPr>
          <w:rFonts w:ascii="Sylfaen" w:hAnsi="Sylfaen" w:cs="Sylfaen"/>
          <w:lang w:val="ka-GE"/>
        </w:rPr>
        <w:t>გაზრდილ</w:t>
      </w:r>
      <w:r w:rsidR="0009185A" w:rsidRPr="00C9780C">
        <w:rPr>
          <w:rFonts w:ascii="Sylfaen" w:hAnsi="Sylfaen" w:cs="Sylfaen"/>
          <w:lang w:val="ka-GE"/>
        </w:rPr>
        <w:t xml:space="preserve"> </w:t>
      </w:r>
      <w:r w:rsidR="00304B4F" w:rsidRPr="00C9780C">
        <w:rPr>
          <w:rFonts w:ascii="Sylfaen" w:hAnsi="Sylfaen" w:cs="Sylfaen"/>
          <w:lang w:val="ka-GE"/>
        </w:rPr>
        <w:t>შემოსავლებს. პ</w:t>
      </w:r>
      <w:r w:rsidR="0009185A" w:rsidRPr="00C9780C">
        <w:rPr>
          <w:rFonts w:ascii="Sylfaen" w:hAnsi="Sylfaen" w:cs="Sylfaen"/>
          <w:lang w:val="ka-GE"/>
        </w:rPr>
        <w:t>არალელურად</w:t>
      </w:r>
      <w:r w:rsidR="00304B4F" w:rsidRPr="00C9780C">
        <w:rPr>
          <w:rFonts w:ascii="Sylfaen" w:hAnsi="Sylfaen" w:cs="Sylfaen"/>
          <w:lang w:val="ka-GE"/>
        </w:rPr>
        <w:t xml:space="preserve"> 2021 წლის გადასახდელების ნაწილის ზრდის მიუხედავად</w:t>
      </w:r>
      <w:r w:rsidR="00C24549">
        <w:rPr>
          <w:rFonts w:ascii="Sylfaen" w:hAnsi="Sylfaen" w:cs="Sylfaen"/>
          <w:lang w:val="ka-GE"/>
        </w:rPr>
        <w:t>,</w:t>
      </w:r>
      <w:r w:rsidR="0009185A" w:rsidRPr="00C9780C">
        <w:rPr>
          <w:rFonts w:ascii="Sylfaen" w:hAnsi="Sylfaen" w:cs="Sylfaen"/>
          <w:lang w:val="ka-GE"/>
        </w:rPr>
        <w:t xml:space="preserve"> ფისკალური დეფიციტ</w:t>
      </w:r>
      <w:r w:rsidR="00304B4F" w:rsidRPr="00C9780C">
        <w:rPr>
          <w:rFonts w:ascii="Sylfaen" w:hAnsi="Sylfaen" w:cs="Sylfaen"/>
          <w:lang w:val="ka-GE"/>
        </w:rPr>
        <w:t>ი</w:t>
      </w:r>
      <w:r w:rsidR="0009185A" w:rsidRPr="00C9780C">
        <w:rPr>
          <w:rFonts w:ascii="Sylfaen" w:hAnsi="Sylfaen" w:cs="Sylfaen"/>
          <w:lang w:val="ka-GE"/>
        </w:rPr>
        <w:t xml:space="preserve"> მცირდება როგორც ნომინალურ გამოხატულებაში</w:t>
      </w:r>
      <w:r w:rsidR="00C24549">
        <w:rPr>
          <w:rFonts w:ascii="Sylfaen" w:hAnsi="Sylfaen" w:cs="Sylfaen"/>
          <w:lang w:val="ka-GE"/>
        </w:rPr>
        <w:t>,</w:t>
      </w:r>
      <w:r w:rsidR="0009185A" w:rsidRPr="00C9780C">
        <w:rPr>
          <w:rFonts w:ascii="Sylfaen" w:hAnsi="Sylfaen" w:cs="Sylfaen"/>
          <w:lang w:val="ka-GE"/>
        </w:rPr>
        <w:t xml:space="preserve"> ისე მშპ-თან </w:t>
      </w:r>
      <w:r w:rsidR="0009185A" w:rsidRPr="000E4929">
        <w:rPr>
          <w:rFonts w:ascii="Sylfaen" w:hAnsi="Sylfaen" w:cs="Sylfaen"/>
          <w:lang w:val="ka-GE"/>
        </w:rPr>
        <w:t>მიმართებაში (7.7%-დან 6.9%-მდე)</w:t>
      </w:r>
      <w:r w:rsidR="00A60FDC" w:rsidRPr="000E4929">
        <w:rPr>
          <w:rFonts w:ascii="Sylfaen" w:hAnsi="Sylfaen" w:cs="Sylfaen"/>
          <w:lang w:val="ka-GE"/>
        </w:rPr>
        <w:t>.</w:t>
      </w:r>
    </w:p>
    <w:p w:rsidR="00304B4F" w:rsidRPr="00C9780C" w:rsidRDefault="00304B4F" w:rsidP="00AD738A">
      <w:pPr>
        <w:spacing w:line="276" w:lineRule="auto"/>
        <w:ind w:firstLine="567"/>
        <w:jc w:val="both"/>
        <w:rPr>
          <w:rFonts w:ascii="Sylfaen" w:hAnsi="Sylfaen" w:cs="Sylfaen"/>
          <w:lang w:val="ka-GE"/>
        </w:rPr>
      </w:pPr>
      <w:r w:rsidRPr="000E4929">
        <w:rPr>
          <w:rFonts w:ascii="Sylfaen" w:hAnsi="Sylfaen" w:cs="Sylfaen"/>
          <w:lang w:val="ka-GE"/>
        </w:rPr>
        <w:t>განახლებული პროგნოზებით ნაერთ</w:t>
      </w:r>
      <w:r w:rsidR="00C24549" w:rsidRPr="000E4929">
        <w:rPr>
          <w:rFonts w:ascii="Sylfaen" w:hAnsi="Sylfaen" w:cs="Sylfaen"/>
          <w:lang w:val="ka-GE"/>
        </w:rPr>
        <w:t>ი</w:t>
      </w:r>
      <w:r w:rsidRPr="000E4929">
        <w:rPr>
          <w:rFonts w:ascii="Sylfaen" w:hAnsi="Sylfaen" w:cs="Sylfaen"/>
          <w:lang w:val="ka-GE"/>
        </w:rPr>
        <w:t xml:space="preserve"> ბიუჯეტის არადეფიციტური შემოსავლები </w:t>
      </w:r>
      <w:r w:rsidR="009C4B89" w:rsidRPr="000E4929">
        <w:rPr>
          <w:rFonts w:ascii="Sylfaen" w:hAnsi="Sylfaen" w:cs="Sylfaen"/>
          <w:lang w:val="ka-GE"/>
        </w:rPr>
        <w:t xml:space="preserve">როგორც </w:t>
      </w:r>
      <w:r w:rsidRPr="000E4929">
        <w:rPr>
          <w:rFonts w:ascii="Sylfaen" w:hAnsi="Sylfaen" w:cs="Sylfaen"/>
          <w:lang w:val="ka-GE"/>
        </w:rPr>
        <w:t>ნომინალურ გამოხატულებაში</w:t>
      </w:r>
      <w:r w:rsidR="009C4B89" w:rsidRPr="000E4929">
        <w:rPr>
          <w:rFonts w:ascii="Sylfaen" w:hAnsi="Sylfaen" w:cs="Sylfaen"/>
          <w:lang w:val="ka-GE"/>
        </w:rPr>
        <w:t>, ისე მშპ-თან მიმართებაში</w:t>
      </w:r>
      <w:r w:rsidRPr="000E4929">
        <w:rPr>
          <w:rFonts w:ascii="Sylfaen" w:hAnsi="Sylfaen" w:cs="Sylfaen"/>
          <w:lang w:val="ka-GE"/>
        </w:rPr>
        <w:t xml:space="preserve"> პრაქტიკულად აღდგა 2021 წლიდან, ხოლო 2022 წლიდან გადააჭარბებს პანდემიამდე არსებულ (2019 წლის დეკემბერის ვერსია) პროგნოზებს.</w:t>
      </w:r>
    </w:p>
    <w:p w:rsidR="00304B4F" w:rsidRPr="00C9780C" w:rsidRDefault="00304B4F" w:rsidP="00AD738A">
      <w:pPr>
        <w:spacing w:line="276" w:lineRule="auto"/>
        <w:ind w:firstLine="567"/>
        <w:jc w:val="both"/>
        <w:rPr>
          <w:rFonts w:ascii="Sylfaen" w:hAnsi="Sylfaen" w:cs="Sylfaen"/>
          <w:lang w:val="ka-GE"/>
        </w:rPr>
      </w:pPr>
      <w:r w:rsidRPr="00C9780C">
        <w:rPr>
          <w:rFonts w:ascii="Sylfaen" w:hAnsi="Sylfaen" w:cs="Sylfaen"/>
          <w:lang w:val="ka-GE"/>
        </w:rPr>
        <w:t>ასევე</w:t>
      </w:r>
      <w:r w:rsidR="00C24549">
        <w:rPr>
          <w:rFonts w:ascii="Sylfaen" w:hAnsi="Sylfaen" w:cs="Sylfaen"/>
          <w:lang w:val="ka-GE"/>
        </w:rPr>
        <w:t>,</w:t>
      </w:r>
      <w:r w:rsidRPr="00C9780C">
        <w:rPr>
          <w:rFonts w:ascii="Sylfaen" w:hAnsi="Sylfaen" w:cs="Sylfaen"/>
          <w:lang w:val="ka-GE"/>
        </w:rPr>
        <w:t xml:space="preserve"> საქართველოს მთავრობის მიერ დაწყებული აქტიური პრივატიზაციის შედეგად, წარმოდგენილ პროგნოზებში გაზრდილია არაფინანსური აქტივების კლებით მისაღები </w:t>
      </w:r>
      <w:r w:rsidR="00C24549">
        <w:rPr>
          <w:rFonts w:ascii="Sylfaen" w:hAnsi="Sylfaen" w:cs="Sylfaen"/>
          <w:lang w:val="ka-GE"/>
        </w:rPr>
        <w:t>შემოსულო</w:t>
      </w:r>
      <w:r w:rsidRPr="00C9780C">
        <w:rPr>
          <w:rFonts w:ascii="Sylfaen" w:hAnsi="Sylfaen" w:cs="Sylfaen"/>
          <w:lang w:val="ka-GE"/>
        </w:rPr>
        <w:t>ბების მაჩვენებლები.</w:t>
      </w:r>
    </w:p>
    <w:p w:rsidR="00FC0EF8" w:rsidRPr="00C9780C" w:rsidRDefault="00FC0EF8"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Pr="00C9780C">
        <w:rPr>
          <w:rFonts w:ascii="Sylfaen" w:hAnsi="Sylfaen" w:cs="Sylfaen"/>
          <w:b/>
          <w:bCs/>
          <w:noProof/>
          <w:sz w:val="20"/>
          <w:szCs w:val="22"/>
          <w:lang w:val="ka-GE"/>
        </w:rPr>
        <w:t xml:space="preserve"> შემოსულობების პროგნოზები</w:t>
      </w:r>
    </w:p>
    <w:p w:rsidR="00AD738A" w:rsidRPr="00C9780C" w:rsidRDefault="00AD738A" w:rsidP="00AD738A">
      <w:pPr>
        <w:spacing w:line="276" w:lineRule="auto"/>
        <w:jc w:val="right"/>
        <w:rPr>
          <w:rFonts w:ascii="Sylfaen" w:hAnsi="Sylfaen"/>
          <w:b/>
          <w:i/>
          <w:sz w:val="18"/>
          <w:u w:val="single"/>
          <w:lang w:val="ka-GE"/>
        </w:rPr>
      </w:pPr>
      <w:r w:rsidRPr="00C9780C">
        <w:rPr>
          <w:rFonts w:ascii="Sylfaen" w:hAnsi="Sylfaen"/>
          <w:b/>
          <w:i/>
          <w:sz w:val="18"/>
          <w:u w:val="single"/>
        </w:rPr>
        <w:t>(</w:t>
      </w:r>
      <w:r w:rsidRPr="00C9780C">
        <w:rPr>
          <w:rFonts w:ascii="Sylfaen" w:hAnsi="Sylfaen"/>
          <w:b/>
          <w:i/>
          <w:sz w:val="18"/>
          <w:u w:val="single"/>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26"/>
        <w:gridCol w:w="1161"/>
        <w:gridCol w:w="1161"/>
        <w:gridCol w:w="1161"/>
        <w:gridCol w:w="1161"/>
        <w:gridCol w:w="1161"/>
        <w:gridCol w:w="1159"/>
      </w:tblGrid>
      <w:tr w:rsidR="009C03FF" w:rsidRPr="00C9780C" w:rsidTr="003A2E8C">
        <w:trPr>
          <w:trHeight w:val="270"/>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2024</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2025</w:t>
            </w:r>
          </w:p>
        </w:tc>
      </w:tr>
      <w:tr w:rsidR="009C03FF" w:rsidRPr="00C9780C" w:rsidTr="003A2E8C">
        <w:trPr>
          <w:trHeight w:val="270"/>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ფაქტი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r>
      <w:tr w:rsidR="009C03FF" w:rsidRPr="00C9780C" w:rsidTr="003A2E8C">
        <w:trPr>
          <w:trHeight w:val="315"/>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31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შემოსავლები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13 612,0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14 751,0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15 805,0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17 056,0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12 626,0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13 402,0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14 969,0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16 331,0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17 827,0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-986,0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-1 349,0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-836,0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12 407,0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14 579,0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16 490,0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18 052,0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19 530,0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21 114,0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1 177,0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1 521,0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1 721,0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1 703,0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103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207,9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57,9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70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167,4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115,0</w:t>
            </w:r>
          </w:p>
        </w:tc>
      </w:tr>
      <w:tr w:rsidR="009C03FF" w:rsidRPr="00C9780C" w:rsidTr="003A2E8C">
        <w:trPr>
          <w:trHeight w:val="51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მშპ-თან</w:t>
            </w:r>
          </w:p>
        </w:tc>
      </w:tr>
      <w:tr w:rsidR="009C03FF" w:rsidRPr="00C9780C" w:rsidTr="003A2E8C">
        <w:trPr>
          <w:trHeight w:val="27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შემოსავლები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26,0%</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25,7%</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70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კლება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25"/>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000000" w:fill="FCE4D6"/>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r>
      <w:tr w:rsidR="009C03FF" w:rsidRPr="00C9780C" w:rsidTr="003A2E8C">
        <w:trPr>
          <w:trHeight w:val="31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000000" w:fill="FCE4D6"/>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bl>
    <w:p w:rsidR="00AD738A" w:rsidRPr="00C9780C" w:rsidRDefault="00AD738A" w:rsidP="00AD738A">
      <w:pPr>
        <w:spacing w:line="276" w:lineRule="auto"/>
        <w:rPr>
          <w:rFonts w:ascii="Sylfaen" w:hAnsi="Sylfaen"/>
          <w:lang w:val="ka-GE"/>
        </w:rPr>
      </w:pPr>
    </w:p>
    <w:p w:rsidR="00D7302B" w:rsidRPr="00C9780C" w:rsidRDefault="00AD738A" w:rsidP="00AD738A">
      <w:pPr>
        <w:spacing w:line="276" w:lineRule="auto"/>
        <w:ind w:firstLine="720"/>
        <w:jc w:val="both"/>
        <w:rPr>
          <w:rFonts w:ascii="Sylfaen" w:hAnsi="Sylfaen"/>
          <w:lang w:val="ka-GE"/>
        </w:rPr>
      </w:pPr>
      <w:r w:rsidRPr="00C9780C">
        <w:rPr>
          <w:rFonts w:ascii="Sylfaen" w:hAnsi="Sylfaen"/>
          <w:lang w:val="ka-GE"/>
        </w:rPr>
        <w:t>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w:t>
      </w:r>
      <w:r w:rsidR="00C24549">
        <w:rPr>
          <w:rFonts w:ascii="Sylfaen" w:hAnsi="Sylfaen"/>
          <w:lang w:val="ka-GE"/>
        </w:rPr>
        <w:t>,</w:t>
      </w:r>
      <w:r w:rsidRPr="00C9780C">
        <w:rPr>
          <w:rFonts w:ascii="Sylfaen" w:hAnsi="Sylfaen"/>
          <w:lang w:val="ka-GE"/>
        </w:rPr>
        <w:t xml:space="preserve"> 2021-2024 წლებში </w:t>
      </w:r>
      <w:r w:rsidR="009C4B89" w:rsidRPr="00C9780C">
        <w:rPr>
          <w:rFonts w:ascii="Sylfaen" w:hAnsi="Sylfaen"/>
          <w:lang w:val="ka-GE"/>
        </w:rPr>
        <w:t>გაიზარდა</w:t>
      </w:r>
      <w:r w:rsidRPr="00C9780C">
        <w:rPr>
          <w:rFonts w:ascii="Sylfaen" w:hAnsi="Sylfaen"/>
          <w:lang w:val="ka-GE"/>
        </w:rPr>
        <w:t xml:space="preserve"> ბიუჯეტის დეფიციტური შემოსულობების წყაროები</w:t>
      </w:r>
      <w:r w:rsidR="00C24549">
        <w:rPr>
          <w:rFonts w:ascii="Sylfaen" w:hAnsi="Sylfaen"/>
        </w:rPr>
        <w:t xml:space="preserve"> - </w:t>
      </w:r>
      <w:r w:rsidRPr="00C9780C">
        <w:rPr>
          <w:rFonts w:ascii="Sylfaen" w:hAnsi="Sylfaen"/>
          <w:lang w:val="ka-GE"/>
        </w:rPr>
        <w:t>როგორც საშინაო</w:t>
      </w:r>
      <w:r w:rsidR="00816DE6" w:rsidRPr="00C9780C">
        <w:rPr>
          <w:rFonts w:ascii="Sylfaen" w:hAnsi="Sylfaen"/>
          <w:lang w:val="ka-GE"/>
        </w:rPr>
        <w:t>,</w:t>
      </w:r>
      <w:r w:rsidRPr="00C9780C">
        <w:rPr>
          <w:rFonts w:ascii="Sylfaen" w:hAnsi="Sylfaen"/>
          <w:lang w:val="ka-GE"/>
        </w:rPr>
        <w:t xml:space="preserve"> ისე საგარეო ვალის აღების პროგნოზები.</w:t>
      </w:r>
      <w:r w:rsidR="0073343E" w:rsidRPr="00C9780C">
        <w:rPr>
          <w:rFonts w:ascii="Sylfaen" w:hAnsi="Sylfaen"/>
        </w:rPr>
        <w:t xml:space="preserve"> </w:t>
      </w:r>
      <w:r w:rsidR="009C4B89" w:rsidRPr="00C9780C">
        <w:rPr>
          <w:rFonts w:ascii="Sylfaen" w:hAnsi="Sylfaen"/>
          <w:lang w:val="ka-GE"/>
        </w:rPr>
        <w:t>2020-</w:t>
      </w:r>
      <w:r w:rsidR="006F5CB5" w:rsidRPr="00C9780C">
        <w:rPr>
          <w:rFonts w:ascii="Sylfaen" w:hAnsi="Sylfaen"/>
          <w:lang w:val="ka-GE"/>
        </w:rPr>
        <w:t xml:space="preserve">2021 წელს </w:t>
      </w:r>
      <w:r w:rsidR="00A60FDC" w:rsidRPr="00C9780C">
        <w:rPr>
          <w:rFonts w:ascii="Sylfaen" w:hAnsi="Sylfaen"/>
          <w:lang w:val="ka-GE"/>
        </w:rPr>
        <w:t xml:space="preserve">საგარეო ვალდებულებების </w:t>
      </w:r>
      <w:r w:rsidR="00816DE6" w:rsidRPr="00C9780C">
        <w:rPr>
          <w:rFonts w:ascii="Sylfaen" w:hAnsi="Sylfaen"/>
          <w:lang w:val="ka-GE"/>
        </w:rPr>
        <w:t>მნიშვ</w:t>
      </w:r>
      <w:r w:rsidR="00A60FDC" w:rsidRPr="00C9780C">
        <w:rPr>
          <w:rFonts w:ascii="Sylfaen" w:hAnsi="Sylfaen"/>
          <w:lang w:val="ka-GE"/>
        </w:rPr>
        <w:t>ნ</w:t>
      </w:r>
      <w:r w:rsidR="00816DE6" w:rsidRPr="00C9780C">
        <w:rPr>
          <w:rFonts w:ascii="Sylfaen" w:hAnsi="Sylfaen"/>
          <w:lang w:val="ka-GE"/>
        </w:rPr>
        <w:t>ე</w:t>
      </w:r>
      <w:r w:rsidR="00A60FDC" w:rsidRPr="00C9780C">
        <w:rPr>
          <w:rFonts w:ascii="Sylfaen" w:hAnsi="Sylfaen"/>
          <w:lang w:val="ka-GE"/>
        </w:rPr>
        <w:t>ლოვანი ზრდა განპირობებული</w:t>
      </w:r>
      <w:r w:rsidR="009C4B89" w:rsidRPr="00C9780C">
        <w:rPr>
          <w:rFonts w:ascii="Sylfaen" w:hAnsi="Sylfaen"/>
          <w:lang w:val="ka-GE"/>
        </w:rPr>
        <w:t xml:space="preserve"> იყო</w:t>
      </w:r>
      <w:r w:rsidR="00A60FDC" w:rsidRPr="00C9780C">
        <w:rPr>
          <w:rFonts w:ascii="Sylfaen" w:hAnsi="Sylfaen"/>
          <w:lang w:val="ka-GE"/>
        </w:rPr>
        <w:t xml:space="preserve"> იმ ფაქტით, რომ</w:t>
      </w:r>
      <w:r w:rsidR="009C4B89" w:rsidRPr="00C9780C">
        <w:rPr>
          <w:rFonts w:ascii="Sylfaen" w:hAnsi="Sylfaen"/>
          <w:lang w:val="ka-GE"/>
        </w:rPr>
        <w:t xml:space="preserve"> პანდემიასთან დაკავშირებით საჭირო დამატებით რესურსთა</w:t>
      </w:r>
      <w:r w:rsidR="00C24549">
        <w:rPr>
          <w:rFonts w:ascii="Sylfaen" w:hAnsi="Sylfaen"/>
          <w:lang w:val="ka-GE"/>
        </w:rPr>
        <w:t>ნ</w:t>
      </w:r>
      <w:r w:rsidR="009C4B89" w:rsidRPr="00C9780C">
        <w:rPr>
          <w:rFonts w:ascii="Sylfaen" w:hAnsi="Sylfaen"/>
          <w:lang w:val="ka-GE"/>
        </w:rPr>
        <w:t xml:space="preserve"> ერთად,</w:t>
      </w:r>
      <w:r w:rsidR="00A60FDC" w:rsidRPr="00C9780C">
        <w:rPr>
          <w:rFonts w:ascii="Sylfaen" w:hAnsi="Sylfaen"/>
          <w:lang w:val="ka-GE"/>
        </w:rPr>
        <w:t xml:space="preserve"> 2021 წელს </w:t>
      </w:r>
      <w:r w:rsidR="009C4B89" w:rsidRPr="00C9780C">
        <w:rPr>
          <w:rFonts w:ascii="Sylfaen" w:hAnsi="Sylfaen"/>
          <w:lang w:val="ka-GE"/>
        </w:rPr>
        <w:t xml:space="preserve">განხორციელდა </w:t>
      </w:r>
      <w:r w:rsidR="00A60FDC" w:rsidRPr="00C9780C">
        <w:rPr>
          <w:rFonts w:ascii="Sylfaen" w:hAnsi="Sylfaen"/>
          <w:lang w:val="ka-GE"/>
        </w:rPr>
        <w:t xml:space="preserve">ევრობონდების </w:t>
      </w:r>
      <w:r w:rsidR="00816DE6" w:rsidRPr="00C9780C">
        <w:rPr>
          <w:rFonts w:ascii="Sylfaen" w:hAnsi="Sylfaen"/>
          <w:lang w:val="ka-GE"/>
        </w:rPr>
        <w:t>გა</w:t>
      </w:r>
      <w:r w:rsidR="00A60FDC" w:rsidRPr="00C9780C">
        <w:rPr>
          <w:rFonts w:ascii="Sylfaen" w:hAnsi="Sylfaen"/>
          <w:lang w:val="ka-GE"/>
        </w:rPr>
        <w:t>და</w:t>
      </w:r>
      <w:r w:rsidR="00816DE6" w:rsidRPr="00C9780C">
        <w:rPr>
          <w:rFonts w:ascii="Sylfaen" w:hAnsi="Sylfaen"/>
          <w:lang w:val="ka-GE"/>
        </w:rPr>
        <w:t>ფარ</w:t>
      </w:r>
      <w:r w:rsidR="00A60FDC" w:rsidRPr="00C9780C">
        <w:rPr>
          <w:rFonts w:ascii="Sylfaen" w:hAnsi="Sylfaen"/>
          <w:lang w:val="ka-GE"/>
        </w:rPr>
        <w:t>ვის მიზნით ახალი ევრობონდის გამოშვება (1</w:t>
      </w:r>
      <w:r w:rsidR="009C4B89" w:rsidRPr="00C9780C">
        <w:rPr>
          <w:rFonts w:ascii="Sylfaen" w:hAnsi="Sylfaen"/>
          <w:lang w:val="ka-GE"/>
        </w:rPr>
        <w:t>.7</w:t>
      </w:r>
      <w:r w:rsidR="00A60FDC" w:rsidRPr="00C9780C">
        <w:rPr>
          <w:rFonts w:ascii="Sylfaen" w:hAnsi="Sylfaen"/>
          <w:lang w:val="ka-GE"/>
        </w:rPr>
        <w:t xml:space="preserve"> მ</w:t>
      </w:r>
      <w:r w:rsidR="009C4B89" w:rsidRPr="00C9780C">
        <w:rPr>
          <w:rFonts w:ascii="Sylfaen" w:hAnsi="Sylfaen"/>
          <w:lang w:val="ka-GE"/>
        </w:rPr>
        <w:t>ი</w:t>
      </w:r>
      <w:r w:rsidR="00A60FDC" w:rsidRPr="00C9780C">
        <w:rPr>
          <w:rFonts w:ascii="Sylfaen" w:hAnsi="Sylfaen"/>
          <w:lang w:val="ka-GE"/>
        </w:rPr>
        <w:t>ლ</w:t>
      </w:r>
      <w:r w:rsidR="009C4B89" w:rsidRPr="00C9780C">
        <w:rPr>
          <w:rFonts w:ascii="Sylfaen" w:hAnsi="Sylfaen"/>
          <w:lang w:val="ka-GE"/>
        </w:rPr>
        <w:t>იარდი</w:t>
      </w:r>
      <w:r w:rsidR="00A60FDC" w:rsidRPr="00C9780C">
        <w:rPr>
          <w:rFonts w:ascii="Sylfaen" w:hAnsi="Sylfaen"/>
          <w:lang w:val="ka-GE"/>
        </w:rPr>
        <w:t xml:space="preserve"> ლარი). 2020</w:t>
      </w:r>
      <w:r w:rsidR="006F5CB5" w:rsidRPr="00C9780C">
        <w:rPr>
          <w:rFonts w:ascii="Sylfaen" w:hAnsi="Sylfaen"/>
          <w:lang w:val="ka-GE"/>
        </w:rPr>
        <w:t xml:space="preserve"> და</w:t>
      </w:r>
      <w:r w:rsidR="009C4B89" w:rsidRPr="00C9780C">
        <w:rPr>
          <w:rFonts w:ascii="Sylfaen" w:hAnsi="Sylfaen"/>
          <w:lang w:val="ka-GE"/>
        </w:rPr>
        <w:t xml:space="preserve"> </w:t>
      </w:r>
      <w:r w:rsidR="00A60FDC" w:rsidRPr="00C9780C">
        <w:rPr>
          <w:rFonts w:ascii="Sylfaen" w:hAnsi="Sylfaen"/>
          <w:lang w:val="ka-GE"/>
        </w:rPr>
        <w:t>2021 წ</w:t>
      </w:r>
      <w:r w:rsidR="006F5CB5" w:rsidRPr="00C9780C">
        <w:rPr>
          <w:rFonts w:ascii="Sylfaen" w:hAnsi="Sylfaen"/>
          <w:lang w:val="ka-GE"/>
        </w:rPr>
        <w:t>ლ</w:t>
      </w:r>
      <w:r w:rsidR="00A60FDC" w:rsidRPr="00C9780C">
        <w:rPr>
          <w:rFonts w:ascii="Sylfaen" w:hAnsi="Sylfaen"/>
          <w:lang w:val="ka-GE"/>
        </w:rPr>
        <w:t>ებ</w:t>
      </w:r>
      <w:r w:rsidR="006F5CB5" w:rsidRPr="00C9780C">
        <w:rPr>
          <w:rFonts w:ascii="Sylfaen" w:hAnsi="Sylfaen"/>
          <w:lang w:val="ka-GE"/>
        </w:rPr>
        <w:t xml:space="preserve">ში, </w:t>
      </w:r>
      <w:r w:rsidR="00A60FDC"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00A60FDC" w:rsidRPr="00C9780C">
        <w:rPr>
          <w:rFonts w:ascii="Sylfaen" w:hAnsi="Sylfaen"/>
          <w:lang w:val="ka-GE"/>
        </w:rPr>
        <w:t xml:space="preserve"> პანდემიის გასამკლავებლად მოზიდული სახსრები. ამასთან</w:t>
      </w:r>
      <w:r w:rsidR="00816DE6" w:rsidRPr="00C9780C">
        <w:rPr>
          <w:rFonts w:ascii="Sylfaen" w:hAnsi="Sylfaen"/>
          <w:lang w:val="ka-GE"/>
        </w:rPr>
        <w:t>,</w:t>
      </w:r>
      <w:r w:rsidR="00A60FDC" w:rsidRPr="00C9780C">
        <w:rPr>
          <w:rFonts w:ascii="Sylfaen" w:hAnsi="Sylfaen"/>
          <w:lang w:val="ka-GE"/>
        </w:rPr>
        <w:t xml:space="preserve"> </w:t>
      </w:r>
      <w:r w:rsidR="009C4B89" w:rsidRPr="00C9780C">
        <w:rPr>
          <w:rFonts w:ascii="Sylfaen" w:hAnsi="Sylfaen"/>
          <w:lang w:val="ka-GE"/>
        </w:rPr>
        <w:t xml:space="preserve">ვინაიდან პანდემიით გამოწვეული დამატებითი </w:t>
      </w:r>
      <w:r w:rsidR="00A60FDC" w:rsidRPr="00C9780C">
        <w:rPr>
          <w:rFonts w:ascii="Sylfaen" w:hAnsi="Sylfaen"/>
          <w:lang w:val="ka-GE"/>
        </w:rPr>
        <w:t>საჭიროებ</w:t>
      </w:r>
      <w:r w:rsidR="00816DE6" w:rsidRPr="00C9780C">
        <w:rPr>
          <w:rFonts w:ascii="Sylfaen" w:hAnsi="Sylfaen"/>
          <w:lang w:val="ka-GE"/>
        </w:rPr>
        <w:t>ებ</w:t>
      </w:r>
      <w:r w:rsidR="00A60FDC" w:rsidRPr="00C9780C">
        <w:rPr>
          <w:rFonts w:ascii="Sylfaen" w:hAnsi="Sylfaen"/>
          <w:lang w:val="ka-GE"/>
        </w:rPr>
        <w:t xml:space="preserve">ი სრულად საგარეო წყაროებიდან და დაგროვილი დეპოზიტებიდან </w:t>
      </w:r>
      <w:r w:rsidR="00816DE6" w:rsidRPr="00C9780C">
        <w:rPr>
          <w:rFonts w:ascii="Sylfaen" w:hAnsi="Sylfaen"/>
          <w:lang w:val="ka-GE"/>
        </w:rPr>
        <w:t>ფინანსდება</w:t>
      </w:r>
      <w:r w:rsidR="009C4B89" w:rsidRPr="00C9780C">
        <w:rPr>
          <w:rFonts w:ascii="Sylfaen" w:hAnsi="Sylfaen"/>
          <w:lang w:val="ka-GE"/>
        </w:rPr>
        <w:t>, საშინაო ვალის წმინდა ზრდა განახლებული პროგნოზით შეადგენს (-150) მლნ ლარს</w:t>
      </w:r>
      <w:r w:rsidR="00A60FDC" w:rsidRPr="00C9780C">
        <w:rPr>
          <w:rFonts w:ascii="Sylfaen" w:hAnsi="Sylfaen"/>
          <w:lang w:val="ka-GE"/>
        </w:rPr>
        <w:t>.</w:t>
      </w:r>
      <w:r w:rsidR="009C4B89" w:rsidRPr="00C9780C">
        <w:rPr>
          <w:rFonts w:ascii="Sylfaen" w:hAnsi="Sylfaen"/>
          <w:lang w:val="ka-GE"/>
        </w:rPr>
        <w:t xml:space="preserve"> 2022 წლიდან კვლავ იგეგმება საშინაო ვალის აღება, ამასთან საქართველოს ფინანსთა სამინისტრო მუშაობს სახელმწიფო ვალის სტრატეგიის განახლებულ</w:t>
      </w:r>
      <w:r w:rsidR="00C24549">
        <w:rPr>
          <w:rFonts w:ascii="Sylfaen" w:hAnsi="Sylfaen"/>
          <w:lang w:val="ka-GE"/>
        </w:rPr>
        <w:t>ი</w:t>
      </w:r>
      <w:r w:rsidR="009C4B89" w:rsidRPr="00C9780C">
        <w:rPr>
          <w:rFonts w:ascii="Sylfaen" w:hAnsi="Sylfaen"/>
          <w:lang w:val="ka-GE"/>
        </w:rPr>
        <w:t xml:space="preserve"> დოკუმენტის მომზადებაზე, რის შედეგადაც დეფიციტის დაფინანსების წყაროების სტრუქტურა შეიძლება კვლავ გადაიხედოს.</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5E18E6" w:rsidRPr="00C9780C" w:rsidRDefault="005E18E6" w:rsidP="005E18E6">
      <w:pPr>
        <w:spacing w:after="0" w:line="276" w:lineRule="auto"/>
        <w:jc w:val="right"/>
        <w:rPr>
          <w:rFonts w:ascii="Sylfaen" w:hAnsi="Sylfaen"/>
          <w:b/>
          <w:i/>
          <w:sz w:val="18"/>
          <w:u w:val="single"/>
          <w:lang w:val="ka-GE"/>
        </w:rPr>
      </w:pPr>
      <w:r w:rsidRPr="00C9780C">
        <w:rPr>
          <w:rFonts w:ascii="Sylfaen" w:hAnsi="Sylfaen"/>
          <w:b/>
          <w:i/>
          <w:sz w:val="18"/>
          <w:u w:val="single"/>
        </w:rPr>
        <w:t>(</w:t>
      </w:r>
      <w:r w:rsidRPr="00C9780C">
        <w:rPr>
          <w:rFonts w:ascii="Sylfaen" w:hAnsi="Sylfaen"/>
          <w:b/>
          <w:i/>
          <w:sz w:val="18"/>
          <w:u w:val="single"/>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26"/>
        <w:gridCol w:w="1161"/>
        <w:gridCol w:w="1161"/>
        <w:gridCol w:w="1161"/>
        <w:gridCol w:w="1161"/>
        <w:gridCol w:w="1161"/>
        <w:gridCol w:w="1159"/>
      </w:tblGrid>
      <w:tr w:rsidR="009C03FF" w:rsidRPr="00C9780C" w:rsidTr="003A2E8C">
        <w:trPr>
          <w:trHeight w:val="255"/>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2023</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2024</w:t>
            </w:r>
          </w:p>
        </w:tc>
        <w:tc>
          <w:tcPr>
            <w:tcW w:w="587" w:type="pct"/>
            <w:shd w:val="clear" w:color="000000" w:fill="FDE9D9"/>
            <w:noWrap/>
            <w:vAlign w:val="center"/>
            <w:hideMark/>
          </w:tcPr>
          <w:p w:rsidR="009C03FF" w:rsidRPr="00C9780C" w:rsidRDefault="00C24549" w:rsidP="009C03FF">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2025</w:t>
            </w:r>
          </w:p>
        </w:tc>
      </w:tr>
      <w:tr w:rsidR="009C03FF" w:rsidRPr="00C9780C" w:rsidTr="003A2E8C">
        <w:trPr>
          <w:trHeight w:val="270"/>
          <w:tblHeader/>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მოსალ</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ვალდებულებების ზრდა</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3 067,0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3 835,0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2 941,0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3 135,0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7 175,0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3 145,0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3 675,0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4 140,0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4 108,0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1 444,0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540,0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7 274,4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5 094,0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3 965,0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3 485,0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3 485,0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99,4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820,0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საშინაო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1 850,0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1 500,0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1 285,0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1 385,0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1 485,0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1 485,0</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საგარეო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1 867,0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2 900,0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2 006,0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5 325,0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2 145,0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2 475,0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2 640,0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3 458,0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2 379,0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5 264,3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5 274,0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2 680,0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2 100,0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2 000,0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2 000,0</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-60,7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535,0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-640,0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70"/>
        </w:trPr>
        <w:tc>
          <w:tcPr>
            <w:tcW w:w="5000" w:type="pct"/>
            <w:gridSpan w:val="7"/>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მშპ-თან</w:t>
            </w:r>
          </w:p>
        </w:tc>
      </w:tr>
      <w:tr w:rsidR="009C03FF" w:rsidRPr="00C9780C" w:rsidTr="003A2E8C">
        <w:trPr>
          <w:trHeight w:val="30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ვალდებულებების ზრდა</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4,6%</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4,2%</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საშინაო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0,9%</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მ.შ. საგარეო</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c>
          <w:tcPr>
            <w:tcW w:w="587" w:type="pct"/>
            <w:shd w:val="clear" w:color="000000" w:fill="B1A0C7"/>
            <w:noWrap/>
            <w:vAlign w:val="center"/>
            <w:hideMark/>
          </w:tcPr>
          <w:p w:rsidR="009C03FF" w:rsidRPr="00C9780C" w:rsidRDefault="009C03FF" w:rsidP="009C03FF">
            <w:pPr>
              <w:spacing w:after="0" w:line="240" w:lineRule="auto"/>
              <w:rPr>
                <w:rFonts w:ascii="Sylfaen" w:eastAsia="Times New Roman" w:hAnsi="Sylfaen" w:cs="Arial"/>
                <w:b/>
                <w:bCs/>
                <w:sz w:val="20"/>
                <w:szCs w:val="20"/>
              </w:rPr>
            </w:pPr>
            <w:r w:rsidRPr="00C9780C">
              <w:rPr>
                <w:rFonts w:ascii="Sylfaen" w:eastAsia="Times New Roman" w:hAnsi="Sylfaen" w:cs="Arial"/>
                <w:b/>
                <w:bCs/>
                <w:sz w:val="20"/>
                <w:szCs w:val="20"/>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3,3%</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3,8%</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8,8%</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2,4%</w:t>
            </w:r>
          </w:p>
        </w:tc>
      </w:tr>
      <w:tr w:rsidR="009C03FF" w:rsidRPr="00C9780C" w:rsidTr="003A2E8C">
        <w:trPr>
          <w:trHeight w:val="27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w:t>
            </w:r>
          </w:p>
        </w:tc>
        <w:tc>
          <w:tcPr>
            <w:tcW w:w="587"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r>
    </w:tbl>
    <w:p w:rsidR="005E18E6" w:rsidRPr="00C9780C" w:rsidRDefault="005E18E6" w:rsidP="00AD738A">
      <w:pPr>
        <w:tabs>
          <w:tab w:val="left" w:pos="90"/>
        </w:tabs>
        <w:spacing w:after="120" w:line="276" w:lineRule="auto"/>
        <w:ind w:firstLine="720"/>
        <w:jc w:val="both"/>
        <w:rPr>
          <w:rFonts w:ascii="Sylfaen" w:hAnsi="Sylfaen" w:cs="Sylfaen"/>
          <w:lang w:val="ka-GE"/>
        </w:rPr>
      </w:pPr>
    </w:p>
    <w:p w:rsidR="00DB2104" w:rsidRPr="00C9780C" w:rsidRDefault="009C4B89"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DB2104" w:rsidRPr="00C9780C" w:rsidRDefault="00AD738A" w:rsidP="00334A00">
      <w:pPr>
        <w:spacing w:after="0" w:line="276" w:lineRule="auto"/>
        <w:ind w:firstLine="720"/>
        <w:jc w:val="both"/>
        <w:rPr>
          <w:rFonts w:ascii="Sylfaen" w:hAnsi="Sylfaen" w:cs="Sylfaen"/>
          <w:bCs/>
          <w:noProof/>
          <w:lang w:val="ka-GE"/>
        </w:rPr>
      </w:pPr>
      <w:r w:rsidRPr="00C9780C">
        <w:rPr>
          <w:rFonts w:ascii="Sylfaen" w:hAnsi="Sylfaen" w:cs="Sylfaen"/>
          <w:lang w:val="ka-GE"/>
        </w:rPr>
        <w:t>2020 წელს ნაერთი ბიუჯეტის ხარჯები მშპ-თან მიმართებაში 2</w:t>
      </w:r>
      <w:r w:rsidR="00DB2104" w:rsidRPr="00C9780C">
        <w:rPr>
          <w:rFonts w:ascii="Sylfaen" w:hAnsi="Sylfaen" w:cs="Sylfaen"/>
          <w:lang w:val="ka-GE"/>
        </w:rPr>
        <w:t>6</w:t>
      </w:r>
      <w:r w:rsidRPr="00C9780C">
        <w:rPr>
          <w:rFonts w:ascii="Sylfaen" w:hAnsi="Sylfaen" w:cs="Sylfaen"/>
          <w:lang w:val="ka-GE"/>
        </w:rPr>
        <w:t>.</w:t>
      </w:r>
      <w:r w:rsidR="00DB2104" w:rsidRPr="00C9780C">
        <w:rPr>
          <w:rFonts w:ascii="Sylfaen" w:hAnsi="Sylfaen" w:cs="Sylfaen"/>
          <w:lang w:val="ka-GE"/>
        </w:rPr>
        <w:t>2</w:t>
      </w:r>
      <w:r w:rsidRPr="00C9780C">
        <w:rPr>
          <w:rFonts w:ascii="Sylfaen" w:hAnsi="Sylfaen" w:cs="Sylfaen"/>
          <w:lang w:val="ka-GE"/>
        </w:rPr>
        <w:t xml:space="preserve"> პროცენტამდე გაიზ</w:t>
      </w:r>
      <w:r w:rsidR="0073343E" w:rsidRPr="00C9780C">
        <w:rPr>
          <w:rFonts w:ascii="Sylfaen" w:hAnsi="Sylfaen" w:cs="Sylfaen"/>
          <w:lang w:val="ka-GE"/>
        </w:rPr>
        <w:t>ა</w:t>
      </w:r>
      <w:r w:rsidRPr="00C9780C">
        <w:rPr>
          <w:rFonts w:ascii="Sylfaen" w:hAnsi="Sylfaen" w:cs="Sylfaen"/>
          <w:lang w:val="ka-GE"/>
        </w:rPr>
        <w:t xml:space="preserve">რდა 2020 წლის თავდაპირველი გეგმით გათვალისწინებული 21.5 პროცენტის ნაცვლად. </w:t>
      </w:r>
      <w:r w:rsidR="00DB2104" w:rsidRPr="00C9780C">
        <w:rPr>
          <w:rFonts w:ascii="Sylfaen" w:hAnsi="Sylfaen" w:cs="Sylfaen"/>
          <w:lang w:val="ka-GE"/>
        </w:rPr>
        <w:t>ასევე</w:t>
      </w:r>
      <w:r w:rsidR="00C24549">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2021 წლის ბიუჯეტში მიმდინარე ხარჯები დაიგეგმა </w:t>
      </w:r>
      <w:r w:rsidR="00DB2104" w:rsidRPr="00C9780C">
        <w:rPr>
          <w:rFonts w:ascii="Sylfaen" w:hAnsi="Sylfaen" w:cs="Sylfaen"/>
          <w:lang w:val="ka-GE"/>
        </w:rPr>
        <w:t>25.1 პროცენტ</w:t>
      </w:r>
      <w:r w:rsidR="00164376" w:rsidRPr="00C9780C">
        <w:rPr>
          <w:rFonts w:ascii="Sylfaen" w:hAnsi="Sylfaen" w:cs="Sylfaen"/>
          <w:lang w:val="ka-GE"/>
        </w:rPr>
        <w:t>ი</w:t>
      </w:r>
      <w:r w:rsidR="00C24549">
        <w:rPr>
          <w:rFonts w:ascii="Sylfaen" w:hAnsi="Sylfaen" w:cs="Sylfaen"/>
          <w:lang w:val="ka-GE"/>
        </w:rPr>
        <w:t>ს</w:t>
      </w:r>
      <w:r w:rsidR="00164376" w:rsidRPr="00C9780C">
        <w:rPr>
          <w:rFonts w:ascii="Sylfaen" w:hAnsi="Sylfaen" w:cs="Sylfaen"/>
          <w:lang w:val="ka-GE"/>
        </w:rPr>
        <w:t xml:space="preserve"> ოდენობით, თუმცა წარმოდგენილი ვერსიით, </w:t>
      </w:r>
      <w:r w:rsidR="00164376" w:rsidRPr="00C9780C">
        <w:rPr>
          <w:rFonts w:ascii="Sylfaen" w:hAnsi="Sylfaen" w:cs="Sylfaen"/>
        </w:rPr>
        <w:t>COVID-19</w:t>
      </w:r>
      <w:r w:rsidR="00C24549">
        <w:rPr>
          <w:rFonts w:ascii="Sylfaen" w:hAnsi="Sylfaen" w:cs="Sylfaen"/>
          <w:lang w:val="ka-GE"/>
        </w:rPr>
        <w:t>-თან</w:t>
      </w:r>
      <w:r w:rsidR="00164376" w:rsidRPr="00C9780C">
        <w:rPr>
          <w:rFonts w:ascii="Sylfaen" w:hAnsi="Sylfaen" w:cs="Sylfaen"/>
          <w:lang w:val="ka-GE"/>
        </w:rPr>
        <w:t xml:space="preserve"> დაკავშირებული გაზრდილი ჯანმრთელობის დაცვისა და ეკონომიკის ხელშეწყობის ღონისძიებების გათვალისწინებით</w:t>
      </w:r>
      <w:r w:rsidR="00C24549">
        <w:rPr>
          <w:rFonts w:ascii="Sylfaen" w:hAnsi="Sylfaen" w:cs="Sylfaen"/>
          <w:lang w:val="ka-GE"/>
        </w:rPr>
        <w:t>,</w:t>
      </w:r>
      <w:r w:rsidR="00DB2104" w:rsidRPr="00C9780C">
        <w:rPr>
          <w:rFonts w:ascii="Sylfaen" w:hAnsi="Sylfaen" w:cs="Sylfaen"/>
          <w:lang w:val="ka-GE"/>
        </w:rPr>
        <w:t xml:space="preserve"> 2021 წლის ხარჯები მშპ-თან მიმართებაში</w:t>
      </w:r>
      <w:r w:rsidR="00164376" w:rsidRPr="00C9780C">
        <w:rPr>
          <w:rFonts w:ascii="Sylfaen" w:hAnsi="Sylfaen" w:cs="Sylfaen"/>
          <w:lang w:val="ka-GE"/>
        </w:rPr>
        <w:t xml:space="preserve"> 25.2 პროცენტამდე გაიზრდება</w:t>
      </w:r>
      <w:r w:rsidR="00DB2104" w:rsidRPr="00C9780C">
        <w:rPr>
          <w:rFonts w:ascii="Sylfaen" w:hAnsi="Sylfaen" w:cs="Sylfaen"/>
          <w:lang w:val="ka-GE"/>
        </w:rPr>
        <w:t xml:space="preserve">. </w:t>
      </w:r>
      <w:r w:rsidR="00164376" w:rsidRPr="00C9780C">
        <w:rPr>
          <w:rFonts w:ascii="Sylfaen" w:hAnsi="Sylfaen" w:cs="Sylfaen"/>
          <w:lang w:val="ka-GE"/>
        </w:rPr>
        <w:t xml:space="preserve">განახლებული </w:t>
      </w:r>
      <w:r w:rsidRPr="00C9780C">
        <w:rPr>
          <w:rFonts w:ascii="Sylfaen" w:hAnsi="Sylfaen" w:cs="Sylfaen"/>
          <w:lang w:val="ka-GE"/>
        </w:rPr>
        <w:t xml:space="preserve">მშპ-ის </w:t>
      </w:r>
      <w:r w:rsidR="00164376" w:rsidRPr="00C9780C">
        <w:rPr>
          <w:rFonts w:ascii="Sylfaen" w:hAnsi="Sylfaen" w:cs="Sylfaen"/>
          <w:lang w:val="ka-GE"/>
        </w:rPr>
        <w:t>ზრდის ფონზე, წინა პროგნოზებთან შედარებით</w:t>
      </w:r>
      <w:r w:rsidR="00C24549">
        <w:rPr>
          <w:rFonts w:ascii="Sylfaen" w:hAnsi="Sylfaen" w:cs="Sylfaen"/>
          <w:lang w:val="ka-GE"/>
        </w:rPr>
        <w:t>,</w:t>
      </w:r>
      <w:r w:rsidR="00164376" w:rsidRPr="00C9780C">
        <w:rPr>
          <w:rFonts w:ascii="Sylfaen" w:hAnsi="Sylfaen" w:cs="Sylfaen"/>
          <w:lang w:val="ka-GE"/>
        </w:rPr>
        <w:t xml:space="preserve"> მიმდინარე ხარჯების წილი მშპ-თან მიმართებაში ჩამოდის </w:t>
      </w:r>
      <w:r w:rsidRPr="00C9780C">
        <w:rPr>
          <w:rFonts w:ascii="Sylfaen" w:hAnsi="Sylfaen" w:cs="Sylfaen"/>
          <w:lang w:val="ka-GE"/>
        </w:rPr>
        <w:t>23%-</w:t>
      </w:r>
      <w:r w:rsidR="00164376" w:rsidRPr="00C9780C">
        <w:rPr>
          <w:rFonts w:ascii="Sylfaen" w:hAnsi="Sylfaen" w:cs="Sylfaen"/>
          <w:lang w:val="ka-GE"/>
        </w:rPr>
        <w:t>მდე, ხოლო საშუალო</w:t>
      </w:r>
      <w:r w:rsidR="00C24549">
        <w:rPr>
          <w:rFonts w:ascii="Sylfaen" w:hAnsi="Sylfaen" w:cs="Sylfaen"/>
          <w:lang w:val="ka-GE"/>
        </w:rPr>
        <w:t>ვადიანი</w:t>
      </w:r>
      <w:r w:rsidR="00164376" w:rsidRPr="00C9780C">
        <w:rPr>
          <w:rFonts w:ascii="Sylfaen" w:hAnsi="Sylfaen" w:cs="Sylfaen"/>
          <w:lang w:val="ka-GE"/>
        </w:rPr>
        <w:t xml:space="preserve"> პერიოდის ბოლოსთვის უბრუნდება </w:t>
      </w:r>
      <w:r w:rsidR="00C24549">
        <w:rPr>
          <w:rFonts w:ascii="Sylfaen" w:hAnsi="Sylfaen" w:cs="Sylfaen"/>
          <w:lang w:val="ka-GE"/>
        </w:rPr>
        <w:t>პანდემიამდე</w:t>
      </w:r>
      <w:r w:rsidR="00164376" w:rsidRPr="00C9780C">
        <w:rPr>
          <w:rFonts w:ascii="Sylfaen" w:hAnsi="Sylfaen" w:cs="Sylfaen"/>
          <w:lang w:val="ka-GE"/>
        </w:rPr>
        <w:t xml:space="preserve"> არსებული პროგნოზების ნიშნულს (21%). </w:t>
      </w:r>
      <w:r w:rsidR="00164376" w:rsidRPr="000E4929">
        <w:rPr>
          <w:rFonts w:ascii="Sylfaen" w:hAnsi="Sylfaen" w:cs="Sylfaen"/>
          <w:lang w:val="ka-GE"/>
        </w:rPr>
        <w:t xml:space="preserve">აღსანიშნავია, რომ აღნიშნულ მაჩვენებლებში 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 </w:t>
      </w:r>
      <w:r w:rsidR="009C683F" w:rsidRPr="000E4929">
        <w:rPr>
          <w:rFonts w:ascii="Sylfaen" w:hAnsi="Sylfaen" w:cs="Sylfaen"/>
          <w:lang w:val="ka-GE"/>
        </w:rPr>
        <w:t>თუმცა</w:t>
      </w:r>
      <w:r w:rsidR="00C24549" w:rsidRPr="000E4929">
        <w:rPr>
          <w:rFonts w:ascii="Sylfaen" w:hAnsi="Sylfaen" w:cs="Sylfaen"/>
          <w:lang w:val="ka-GE"/>
        </w:rPr>
        <w:t>,</w:t>
      </w:r>
      <w:r w:rsidR="009C683F" w:rsidRPr="000E4929">
        <w:rPr>
          <w:rFonts w:ascii="Sylfaen" w:hAnsi="Sylfaen" w:cs="Sylfaen"/>
          <w:lang w:val="ka-GE"/>
        </w:rPr>
        <w:t xml:space="preserve"> ამ მაჩვენებ</w:t>
      </w:r>
      <w:r w:rsidR="00557078" w:rsidRPr="000E4929">
        <w:rPr>
          <w:rFonts w:ascii="Sylfaen" w:hAnsi="Sylfaen" w:cs="Sylfaen"/>
          <w:lang w:val="ka-GE"/>
        </w:rPr>
        <w:t>ლებში განათლების რეფორმის მშპ-ის 6%-მდე გაზრდა გამოწვევას წარმოადგენს, გან</w:t>
      </w:r>
      <w:r w:rsidR="00C24549" w:rsidRPr="000E4929">
        <w:rPr>
          <w:rFonts w:ascii="Sylfaen" w:hAnsi="Sylfaen" w:cs="Sylfaen"/>
          <w:lang w:val="ka-GE"/>
        </w:rPr>
        <w:t>ს</w:t>
      </w:r>
      <w:r w:rsidR="00557078" w:rsidRPr="000E4929">
        <w:rPr>
          <w:rFonts w:ascii="Sylfaen" w:hAnsi="Sylfaen" w:cs="Sylfaen"/>
          <w:lang w:val="ka-GE"/>
        </w:rPr>
        <w:t>აკუთრებით იმ ფაქტის გათვალისწინებით, რომ  საქსტატმა 20</w:t>
      </w:r>
      <w:r w:rsidR="000E4929" w:rsidRPr="000E4929">
        <w:rPr>
          <w:rFonts w:ascii="Sylfaen" w:hAnsi="Sylfaen" w:cs="Sylfaen"/>
          <w:lang w:val="ka-GE"/>
        </w:rPr>
        <w:t>19</w:t>
      </w:r>
      <w:r w:rsidR="00557078" w:rsidRPr="000E4929">
        <w:rPr>
          <w:rFonts w:ascii="Sylfaen" w:hAnsi="Sylfaen" w:cs="Sylfaen"/>
          <w:lang w:val="ka-GE"/>
        </w:rPr>
        <w:t xml:space="preserve"> წ</w:t>
      </w:r>
      <w:r w:rsidR="000E4929" w:rsidRPr="000E4929">
        <w:rPr>
          <w:rFonts w:ascii="Sylfaen" w:hAnsi="Sylfaen" w:cs="Sylfaen"/>
          <w:lang w:val="ka-GE"/>
        </w:rPr>
        <w:t>ე</w:t>
      </w:r>
      <w:r w:rsidR="00557078" w:rsidRPr="000E4929">
        <w:rPr>
          <w:rFonts w:ascii="Sylfaen" w:hAnsi="Sylfaen" w:cs="Sylfaen"/>
          <w:lang w:val="ka-GE"/>
        </w:rPr>
        <w:t>ლ</w:t>
      </w:r>
      <w:r w:rsidR="000E4929" w:rsidRPr="000E4929">
        <w:rPr>
          <w:rFonts w:ascii="Sylfaen" w:hAnsi="Sylfaen" w:cs="Sylfaen"/>
          <w:lang w:val="ka-GE"/>
        </w:rPr>
        <w:t>ს</w:t>
      </w:r>
      <w:r w:rsidR="00557078" w:rsidRPr="000E4929">
        <w:rPr>
          <w:rFonts w:ascii="Sylfaen" w:hAnsi="Sylfaen" w:cs="Sylfaen"/>
          <w:lang w:val="ka-GE"/>
        </w:rPr>
        <w:t xml:space="preserve"> განხორციელებული მეთოდოლოგიური ცვლილებებიდან გამომდინარე</w:t>
      </w:r>
      <w:r w:rsidR="00C24549" w:rsidRPr="000E4929">
        <w:rPr>
          <w:rFonts w:ascii="Sylfaen" w:hAnsi="Sylfaen" w:cs="Sylfaen"/>
          <w:lang w:val="ka-GE"/>
        </w:rPr>
        <w:t>,</w:t>
      </w:r>
      <w:r w:rsidR="00557078" w:rsidRPr="000E4929">
        <w:rPr>
          <w:rFonts w:ascii="Sylfaen" w:hAnsi="Sylfaen" w:cs="Sylfaen"/>
          <w:lang w:val="ka-GE"/>
        </w:rPr>
        <w:t xml:space="preserve"> განაახლა მშპ-ის მაჩვენბლები ნომინალურ გამოხატულებაში (ზრდის მიმართულებით).</w:t>
      </w:r>
    </w:p>
    <w:p w:rsidR="00D75C72" w:rsidRPr="00C9780C" w:rsidRDefault="00C24549" w:rsidP="00334A00">
      <w:pPr>
        <w:spacing w:after="0" w:line="276" w:lineRule="auto"/>
        <w:ind w:firstLine="720"/>
        <w:jc w:val="both"/>
        <w:rPr>
          <w:rFonts w:ascii="Sylfaen" w:hAnsi="Sylfaen" w:cs="Sylfaen"/>
          <w:lang w:val="ka-GE"/>
        </w:rPr>
      </w:pPr>
      <w:r>
        <w:rPr>
          <w:rFonts w:ascii="Sylfaen" w:hAnsi="Sylfaen" w:cs="Sylfaen"/>
          <w:lang w:val="ka-GE"/>
        </w:rPr>
        <w:t xml:space="preserve">კაპიტალური ხარჯების მიმართულებით, </w:t>
      </w:r>
      <w:r w:rsidR="003B349A" w:rsidRPr="00C9780C">
        <w:rPr>
          <w:rFonts w:ascii="Sylfaen" w:hAnsi="Sylfaen" w:cs="Sylfaen"/>
          <w:lang w:val="ka-GE"/>
        </w:rPr>
        <w:t xml:space="preserve">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შესვლიდან გამომდინარე </w:t>
      </w:r>
      <w:r w:rsidR="009C683F" w:rsidRPr="00C9780C">
        <w:rPr>
          <w:rFonts w:ascii="Sylfaen" w:hAnsi="Sylfaen" w:cs="Sylfaen"/>
          <w:lang w:val="ka-GE"/>
        </w:rPr>
        <w:t xml:space="preserve">2020 წელს კაპიტალურმა (არაფინანსური აქტივების ზრდის მუხლი) ხარჯებმა 8.6%-ს მიაღწია, ხოლო  </w:t>
      </w:r>
      <w:r w:rsidR="003B349A" w:rsidRPr="00C9780C">
        <w:rPr>
          <w:rFonts w:ascii="Sylfaen" w:hAnsi="Sylfaen" w:cs="Sylfaen"/>
          <w:lang w:val="ka-GE"/>
        </w:rPr>
        <w:t>2021 წელს კაპიტალური ხარჯები გაზრდილია</w:t>
      </w:r>
      <w:r w:rsidR="00334A00">
        <w:rPr>
          <w:rFonts w:ascii="Sylfaen" w:hAnsi="Sylfaen" w:cs="Sylfaen"/>
          <w:lang w:val="ka-GE"/>
        </w:rPr>
        <w:t>,</w:t>
      </w:r>
      <w:r w:rsidR="003B349A" w:rsidRPr="00C9780C">
        <w:rPr>
          <w:rFonts w:ascii="Sylfaen" w:hAnsi="Sylfaen" w:cs="Sylfaen"/>
          <w:lang w:val="ka-GE"/>
        </w:rPr>
        <w:t xml:space="preserve"> როგორც 2019 წლის დეკემბრის, ისე 2020 წლის </w:t>
      </w:r>
      <w:r w:rsidR="009C683F" w:rsidRPr="00C9780C">
        <w:rPr>
          <w:rFonts w:ascii="Sylfaen" w:hAnsi="Sylfaen" w:cs="Sylfaen"/>
          <w:lang w:val="ka-GE"/>
        </w:rPr>
        <w:t xml:space="preserve">დეკემბრის </w:t>
      </w:r>
      <w:r w:rsidR="003B349A" w:rsidRPr="00C9780C">
        <w:rPr>
          <w:rFonts w:ascii="Sylfaen" w:hAnsi="Sylfaen" w:cs="Sylfaen"/>
          <w:lang w:val="ka-GE"/>
        </w:rPr>
        <w:t>მდგომარეობით მომზადებულ პროგნოზებთან და განსაზღვრულია</w:t>
      </w:r>
      <w:r w:rsidR="004A237E" w:rsidRPr="00C9780C">
        <w:rPr>
          <w:rFonts w:ascii="Sylfaen" w:hAnsi="Sylfaen" w:cs="Sylfaen"/>
          <w:lang w:val="ka-GE"/>
        </w:rPr>
        <w:t xml:space="preserve"> </w:t>
      </w:r>
      <w:r w:rsidR="009C683F" w:rsidRPr="00C9780C">
        <w:rPr>
          <w:rFonts w:ascii="Sylfaen" w:hAnsi="Sylfaen" w:cs="Sylfaen"/>
          <w:lang w:val="ka-GE"/>
        </w:rPr>
        <w:t>8</w:t>
      </w:r>
      <w:r w:rsidR="004A237E" w:rsidRPr="00C9780C">
        <w:rPr>
          <w:rFonts w:ascii="Sylfaen" w:hAnsi="Sylfaen" w:cs="Sylfaen"/>
          <w:lang w:val="ka-GE"/>
        </w:rPr>
        <w:t>.</w:t>
      </w:r>
      <w:r w:rsidR="009C683F" w:rsidRPr="00C9780C">
        <w:rPr>
          <w:rFonts w:ascii="Sylfaen" w:hAnsi="Sylfaen" w:cs="Sylfaen"/>
          <w:lang w:val="ka-GE"/>
        </w:rPr>
        <w:t>1</w:t>
      </w:r>
      <w:r w:rsidR="003B349A" w:rsidRPr="00C9780C">
        <w:rPr>
          <w:rFonts w:ascii="Sylfaen" w:hAnsi="Sylfaen" w:cs="Sylfaen"/>
          <w:lang w:val="ka-GE"/>
        </w:rPr>
        <w:t>%-ის ფარგლებში.</w:t>
      </w:r>
      <w:r w:rsidR="00BC68CE" w:rsidRPr="00C9780C">
        <w:rPr>
          <w:rFonts w:ascii="Sylfaen" w:hAnsi="Sylfaen" w:cs="Sylfaen"/>
          <w:lang w:val="ka-GE"/>
        </w:rPr>
        <w:t xml:space="preserve"> </w:t>
      </w:r>
      <w:r w:rsidR="00D75C72" w:rsidRPr="00C9780C">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r w:rsidR="00334A00">
        <w:rPr>
          <w:rFonts w:ascii="Sylfaen" w:hAnsi="Sylfaen" w:cs="Sylfaen"/>
          <w:lang w:val="ka-GE"/>
        </w:rPr>
        <w:t>.</w:t>
      </w:r>
    </w:p>
    <w:p w:rsidR="00044987" w:rsidRPr="00C9780C" w:rsidRDefault="00044987" w:rsidP="00AD738A">
      <w:pPr>
        <w:spacing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Pr="00C9780C"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26"/>
        <w:gridCol w:w="1161"/>
        <w:gridCol w:w="1161"/>
        <w:gridCol w:w="1161"/>
        <w:gridCol w:w="1161"/>
        <w:gridCol w:w="1161"/>
        <w:gridCol w:w="1159"/>
      </w:tblGrid>
      <w:tr w:rsidR="009C03FF" w:rsidRPr="00C9780C" w:rsidTr="003A2E8C">
        <w:trPr>
          <w:trHeight w:val="255"/>
          <w:tblHeader/>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2024</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2025</w:t>
            </w:r>
          </w:p>
        </w:tc>
      </w:tr>
      <w:tr w:rsidR="009C03FF" w:rsidRPr="00C9780C" w:rsidTr="003A2E8C">
        <w:trPr>
          <w:trHeight w:val="255"/>
          <w:tblHeader/>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sz w:val="18"/>
                <w:szCs w:val="18"/>
              </w:rPr>
            </w:pPr>
            <w:r w:rsidRPr="00C9780C">
              <w:rPr>
                <w:rFonts w:ascii="Sylfaen" w:eastAsia="Times New Roman" w:hAnsi="Sylfaen" w:cs="Arial"/>
                <w:sz w:val="18"/>
                <w:szCs w:val="18"/>
              </w:rPr>
              <w:t> </w:t>
            </w:r>
          </w:p>
        </w:tc>
        <w:tc>
          <w:tcPr>
            <w:tcW w:w="587" w:type="pct"/>
            <w:shd w:val="clear" w:color="auto" w:fill="auto"/>
            <w:noWrap/>
            <w:vAlign w:val="center"/>
            <w:hideMark/>
          </w:tcPr>
          <w:p w:rsidR="009C03FF" w:rsidRPr="00C9780C" w:rsidRDefault="00164376" w:rsidP="009C03FF">
            <w:pPr>
              <w:spacing w:after="0" w:line="240" w:lineRule="auto"/>
              <w:jc w:val="center"/>
              <w:rPr>
                <w:rFonts w:ascii="Sylfaen" w:eastAsia="Times New Roman" w:hAnsi="Sylfaen" w:cs="Arial"/>
                <w:b/>
                <w:bCs/>
                <w:sz w:val="18"/>
                <w:szCs w:val="18"/>
                <w:lang w:val="ka-GE"/>
              </w:rPr>
            </w:pPr>
            <w:r w:rsidRPr="00C9780C">
              <w:rPr>
                <w:rFonts w:ascii="Sylfaen" w:eastAsia="Times New Roman" w:hAnsi="Sylfaen" w:cs="Arial"/>
                <w:b/>
                <w:bCs/>
                <w:sz w:val="18"/>
                <w:szCs w:val="18"/>
                <w:lang w:val="ka-GE"/>
              </w:rPr>
              <w:t>ფაქტი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პროგნ.</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164376">
            <w:pPr>
              <w:spacing w:after="0" w:line="240" w:lineRule="auto"/>
              <w:ind w:firstLineChars="100" w:firstLine="180"/>
              <w:rPr>
                <w:rFonts w:ascii="Sylfaen" w:eastAsia="Times New Roman" w:hAnsi="Sylfaen" w:cs="Arial"/>
                <w:sz w:val="18"/>
                <w:szCs w:val="18"/>
                <w:lang w:val="ka-GE"/>
              </w:rPr>
            </w:pPr>
            <w:r w:rsidRPr="00C9780C">
              <w:rPr>
                <w:rFonts w:ascii="Sylfaen" w:eastAsia="Times New Roman" w:hAnsi="Sylfaen" w:cs="Arial"/>
                <w:sz w:val="18"/>
                <w:szCs w:val="18"/>
              </w:rPr>
              <w:t>2020-2023 პროგნოზი (2019 წლის დეკემბერი)</w:t>
            </w:r>
            <w:r w:rsidR="00164376"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11 410,0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12 394,0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13 430,0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14 622,0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lang w:val="ka-GE"/>
              </w:rPr>
            </w:pPr>
            <w:r w:rsidRPr="00C9780C">
              <w:rPr>
                <w:rFonts w:ascii="Sylfaen" w:eastAsia="Times New Roman" w:hAnsi="Sylfaen" w:cs="Arial"/>
                <w:sz w:val="18"/>
                <w:szCs w:val="18"/>
              </w:rPr>
              <w:t>2021-2024 პროგნოზი (2020 წლის დეკემბერი)</w:t>
            </w:r>
            <w:r w:rsidR="00164376"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12 921,0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13 407,0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13 518,0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14 434,0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15 243,0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1 511,0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1 013,0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-188,0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12 959,6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14 419,0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14 626,0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15 468,0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16 427,0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17 551,0</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38,6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1 012,0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1 108,0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1 034,0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1 184,0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4414"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auto" w:fill="auto"/>
            <w:noWrap/>
            <w:vAlign w:val="bottom"/>
            <w:hideMark/>
          </w:tcPr>
          <w:p w:rsidR="009C03FF" w:rsidRPr="00C9780C" w:rsidRDefault="009C03FF" w:rsidP="009C03FF">
            <w:pPr>
              <w:spacing w:after="0" w:line="240" w:lineRule="auto"/>
              <w:rPr>
                <w:rFonts w:ascii="Sylfaen" w:eastAsia="Times New Roman" w:hAnsi="Sylfaen" w:cs="Arial"/>
                <w:sz w:val="20"/>
                <w:szCs w:val="20"/>
              </w:rPr>
            </w:pPr>
            <w:r w:rsidRPr="00C9780C">
              <w:rPr>
                <w:rFonts w:ascii="Sylfaen" w:eastAsia="Times New Roman" w:hAnsi="Sylfaen" w:cs="Arial"/>
                <w:sz w:val="20"/>
                <w:szCs w:val="20"/>
              </w:rPr>
              <w:t> </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კაპიტალური 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ზრდა</w:t>
            </w:r>
          </w:p>
        </w:tc>
        <w:tc>
          <w:tcPr>
            <w:tcW w:w="3521"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164376"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3 689,0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3 800,0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3 990,0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4 160,0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164376"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4 055,0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4 236,0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4 100,0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3 960,0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4 480,0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366,0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436,0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-200,0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4 229,4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4 62</w:t>
            </w:r>
            <w:r w:rsidR="00334A00">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4 775,0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4 792,0</w:t>
            </w:r>
          </w:p>
        </w:tc>
        <w:tc>
          <w:tcPr>
            <w:tcW w:w="587" w:type="pct"/>
            <w:shd w:val="clear" w:color="auto" w:fill="auto"/>
            <w:noWrap/>
            <w:vAlign w:val="center"/>
            <w:hideMark/>
          </w:tcPr>
          <w:p w:rsidR="009C03FF" w:rsidRPr="00C9780C" w:rsidRDefault="00334A00" w:rsidP="009C03FF">
            <w:pPr>
              <w:spacing w:after="0" w:line="240" w:lineRule="auto"/>
              <w:jc w:val="center"/>
              <w:rPr>
                <w:rFonts w:ascii="Sylfaen" w:eastAsia="Times New Roman" w:hAnsi="Sylfaen" w:cs="Arial"/>
                <w:sz w:val="18"/>
                <w:szCs w:val="18"/>
              </w:rPr>
            </w:pPr>
            <w:r>
              <w:rPr>
                <w:rFonts w:ascii="Sylfaen" w:eastAsia="Times New Roman" w:hAnsi="Sylfaen" w:cs="Arial"/>
                <w:sz w:val="18"/>
                <w:szCs w:val="18"/>
              </w:rPr>
              <w:t>5 267,0</w:t>
            </w:r>
          </w:p>
        </w:tc>
        <w:tc>
          <w:tcPr>
            <w:tcW w:w="586" w:type="pct"/>
            <w:shd w:val="clear" w:color="000000" w:fill="FDE9D9"/>
            <w:noWrap/>
            <w:vAlign w:val="center"/>
            <w:hideMark/>
          </w:tcPr>
          <w:p w:rsidR="009C03FF" w:rsidRPr="00C9780C" w:rsidRDefault="009C03FF" w:rsidP="00334A00">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5 727,0</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174,4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384,0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675,0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832,0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787,0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ზრდა</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177,0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360,0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360,0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340,0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190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241</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164376" w:rsidRPr="00334A00" w:rsidRDefault="00164376" w:rsidP="00164376">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-119,0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-90,0</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204</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155</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7" w:type="pct"/>
            <w:shd w:val="clear" w:color="auto" w:fill="auto"/>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c>
          <w:tcPr>
            <w:tcW w:w="586" w:type="pct"/>
            <w:shd w:val="clear" w:color="000000" w:fill="FDE9D9"/>
            <w:noWrap/>
            <w:vAlign w:val="center"/>
            <w:hideMark/>
          </w:tcPr>
          <w:p w:rsidR="009C03FF" w:rsidRPr="00334A00" w:rsidRDefault="009C03FF" w:rsidP="009C03FF">
            <w:pPr>
              <w:spacing w:after="0" w:line="240" w:lineRule="auto"/>
              <w:jc w:val="center"/>
              <w:rPr>
                <w:rFonts w:ascii="Sylfaen" w:eastAsia="Times New Roman" w:hAnsi="Sylfaen" w:cs="Arial"/>
                <w:sz w:val="18"/>
                <w:szCs w:val="18"/>
                <w:lang w:val="ka-GE"/>
              </w:rPr>
            </w:pPr>
            <w:r w:rsidRPr="00C9780C">
              <w:rPr>
                <w:rFonts w:ascii="Sylfaen" w:eastAsia="Times New Roman" w:hAnsi="Sylfaen" w:cs="Arial"/>
                <w:sz w:val="18"/>
                <w:szCs w:val="18"/>
              </w:rPr>
              <w:t>250</w:t>
            </w:r>
            <w:r w:rsidR="00334A00">
              <w:rPr>
                <w:rFonts w:ascii="Sylfaen" w:eastAsia="Times New Roman" w:hAnsi="Sylfaen" w:cs="Arial"/>
                <w:sz w:val="18"/>
                <w:szCs w:val="18"/>
                <w:lang w:val="ka-GE"/>
              </w:rPr>
              <w:t>,0</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14,0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-86,0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255"/>
        </w:trPr>
        <w:tc>
          <w:tcPr>
            <w:tcW w:w="4414" w:type="pct"/>
            <w:gridSpan w:val="6"/>
            <w:shd w:val="clear" w:color="auto" w:fill="auto"/>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auto" w:fill="auto"/>
            <w:noWrap/>
            <w:vAlign w:val="bottom"/>
            <w:hideMark/>
          </w:tcPr>
          <w:p w:rsidR="009C03FF" w:rsidRPr="00C9780C" w:rsidRDefault="009C03FF" w:rsidP="009C03FF">
            <w:pPr>
              <w:spacing w:after="0" w:line="240" w:lineRule="auto"/>
              <w:rPr>
                <w:rFonts w:ascii="Sylfaen" w:eastAsia="Times New Roman" w:hAnsi="Sylfaen" w:cs="Arial"/>
                <w:sz w:val="20"/>
                <w:szCs w:val="20"/>
              </w:rPr>
            </w:pPr>
            <w:r w:rsidRPr="00C9780C">
              <w:rPr>
                <w:rFonts w:ascii="Sylfaen" w:eastAsia="Times New Roman" w:hAnsi="Sylfaen" w:cs="Arial"/>
                <w:sz w:val="20"/>
                <w:szCs w:val="20"/>
              </w:rPr>
              <w:t> </w:t>
            </w:r>
          </w:p>
        </w:tc>
      </w:tr>
      <w:tr w:rsidR="009C03FF" w:rsidRPr="00C9780C" w:rsidTr="003A2E8C">
        <w:trPr>
          <w:trHeight w:val="255"/>
        </w:trPr>
        <w:tc>
          <w:tcPr>
            <w:tcW w:w="5000" w:type="pct"/>
            <w:gridSpan w:val="7"/>
            <w:shd w:val="clear" w:color="auto" w:fill="auto"/>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მშპ-თან</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21,5%</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21,7%</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25,1%</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22,8%</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22,2%</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4,7%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3,5%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1,1%</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26,2%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25,2%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23,0%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22,1%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21,6%</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21%</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-0,7%</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6" w:type="pct"/>
            <w:shd w:val="clear" w:color="000000" w:fill="FDE9D9"/>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r>
      <w:tr w:rsidR="009C03FF" w:rsidRPr="00C9780C" w:rsidTr="003A2E8C">
        <w:trPr>
          <w:trHeight w:val="255"/>
        </w:trPr>
        <w:tc>
          <w:tcPr>
            <w:tcW w:w="5000" w:type="pct"/>
            <w:gridSpan w:val="7"/>
            <w:shd w:val="clear" w:color="auto" w:fill="auto"/>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1479" w:type="pct"/>
            <w:shd w:val="clear" w:color="000000" w:fill="FDE9D9"/>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კაპიტალური ხარჯები</w:t>
            </w:r>
          </w:p>
        </w:tc>
        <w:tc>
          <w:tcPr>
            <w:tcW w:w="3521" w:type="pct"/>
            <w:gridSpan w:val="6"/>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არაფინანსური აქტივების ზრდა</w:t>
            </w:r>
          </w:p>
        </w:tc>
        <w:tc>
          <w:tcPr>
            <w:tcW w:w="3521"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6,9%</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8,2%</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7,9%</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7,0%</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6,3%</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6,5%</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1,3%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8,1%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6,9%</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6,9%</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7%</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255"/>
        </w:trPr>
        <w:tc>
          <w:tcPr>
            <w:tcW w:w="5000" w:type="pct"/>
            <w:gridSpan w:val="7"/>
            <w:shd w:val="clear" w:color="000000" w:fill="FDE9D9"/>
            <w:vAlign w:val="center"/>
            <w:hideMark/>
          </w:tcPr>
          <w:p w:rsidR="009C03FF" w:rsidRPr="00C9780C" w:rsidRDefault="009C03FF" w:rsidP="009C03FF">
            <w:pPr>
              <w:spacing w:after="0" w:line="240" w:lineRule="auto"/>
              <w:jc w:val="center"/>
              <w:rPr>
                <w:rFonts w:ascii="Sylfaen" w:eastAsia="Times New Roman" w:hAnsi="Sylfaen" w:cs="Arial"/>
                <w:b/>
                <w:bCs/>
                <w:sz w:val="18"/>
                <w:szCs w:val="18"/>
              </w:rPr>
            </w:pPr>
            <w:r w:rsidRPr="00C9780C">
              <w:rPr>
                <w:rFonts w:ascii="Sylfaen" w:eastAsia="Times New Roman" w:hAnsi="Sylfaen" w:cs="Arial"/>
                <w:b/>
                <w:bCs/>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rPr>
                <w:rFonts w:ascii="Sylfaen" w:eastAsia="Times New Roman" w:hAnsi="Sylfaen" w:cs="Arial"/>
                <w:b/>
                <w:bCs/>
                <w:sz w:val="18"/>
                <w:szCs w:val="18"/>
              </w:rPr>
            </w:pPr>
            <w:r w:rsidRPr="00C9780C">
              <w:rPr>
                <w:rFonts w:ascii="Sylfaen" w:eastAsia="Times New Roman" w:hAnsi="Sylfaen" w:cs="Arial"/>
                <w:b/>
                <w:bCs/>
                <w:sz w:val="18"/>
                <w:szCs w:val="18"/>
              </w:rPr>
              <w:t>ფინანსური აქტივების ზრდა</w:t>
            </w:r>
          </w:p>
        </w:tc>
        <w:tc>
          <w:tcPr>
            <w:tcW w:w="3521" w:type="pct"/>
            <w:gridSpan w:val="6"/>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2020-2023 პროგნოზი (2019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0,6%</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164376" w:rsidRPr="00C9780C" w:rsidTr="003A2E8C">
        <w:trPr>
          <w:trHeight w:val="510"/>
        </w:trPr>
        <w:tc>
          <w:tcPr>
            <w:tcW w:w="1479" w:type="pct"/>
            <w:shd w:val="clear" w:color="auto" w:fill="auto"/>
            <w:vAlign w:val="center"/>
            <w:hideMark/>
          </w:tcPr>
          <w:p w:rsidR="00164376" w:rsidRPr="00C9780C" w:rsidRDefault="00164376" w:rsidP="00164376">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2021-2024 პროგნოზი (2020 წლის დეკემბერი)</w:t>
            </w:r>
            <w:r w:rsidRPr="00C9780C">
              <w:rPr>
                <w:rFonts w:ascii="Sylfaen" w:eastAsia="Times New Roman" w:hAnsi="Sylfaen" w:cs="Arial"/>
                <w:sz w:val="18"/>
                <w:szCs w:val="18"/>
                <w:lang w:val="ka-GE"/>
              </w:rPr>
              <w:t xml:space="preserve"> (პროგნოზი)</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0,5%</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6" w:type="pct"/>
            <w:shd w:val="clear" w:color="000000" w:fill="FDE9D9"/>
            <w:noWrap/>
            <w:vAlign w:val="center"/>
            <w:hideMark/>
          </w:tcPr>
          <w:p w:rsidR="00164376" w:rsidRPr="00C9780C" w:rsidRDefault="00164376" w:rsidP="00164376">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300"/>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-0,1%</w:t>
            </w:r>
          </w:p>
        </w:tc>
        <w:tc>
          <w:tcPr>
            <w:tcW w:w="587" w:type="pct"/>
            <w:shd w:val="clear" w:color="auto" w:fill="auto"/>
            <w:noWrap/>
            <w:vAlign w:val="center"/>
            <w:hideMark/>
          </w:tcPr>
          <w:p w:rsidR="009C03FF" w:rsidRPr="00C9780C" w:rsidRDefault="009C03FF" w:rsidP="009C03FF">
            <w:pPr>
              <w:spacing w:after="0" w:line="240" w:lineRule="auto"/>
              <w:rPr>
                <w:rFonts w:ascii="Sylfaen" w:eastAsia="Times New Roman" w:hAnsi="Sylfaen" w:cs="Calibri"/>
              </w:rPr>
            </w:pPr>
            <w:r w:rsidRPr="00C9780C">
              <w:rPr>
                <w:rFonts w:ascii="Sylfaen" w:eastAsia="Times New Roman" w:hAnsi="Sylfaen" w:cs="Calibri"/>
              </w:rPr>
              <w:t> </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r w:rsidR="009C03FF" w:rsidRPr="00C9780C" w:rsidTr="003A2E8C">
        <w:trPr>
          <w:trHeight w:val="510"/>
        </w:trPr>
        <w:tc>
          <w:tcPr>
            <w:tcW w:w="1479" w:type="pct"/>
            <w:shd w:val="clear" w:color="auto" w:fill="auto"/>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2022-2025 პროგნოზი (2021 წლის ივლისი)</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0,4%</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0,3%</w:t>
            </w:r>
          </w:p>
        </w:tc>
      </w:tr>
      <w:tr w:rsidR="009C03FF" w:rsidRPr="00C9780C" w:rsidTr="003A2E8C">
        <w:trPr>
          <w:trHeight w:val="255"/>
        </w:trPr>
        <w:tc>
          <w:tcPr>
            <w:tcW w:w="1479" w:type="pct"/>
            <w:shd w:val="clear" w:color="auto" w:fill="auto"/>
            <w:noWrap/>
            <w:vAlign w:val="center"/>
            <w:hideMark/>
          </w:tcPr>
          <w:p w:rsidR="009C03FF" w:rsidRPr="00C9780C" w:rsidRDefault="009C03FF" w:rsidP="009C03FF">
            <w:pPr>
              <w:spacing w:after="0" w:line="240" w:lineRule="auto"/>
              <w:ind w:firstLineChars="100" w:firstLine="180"/>
              <w:rPr>
                <w:rFonts w:ascii="Sylfaen" w:eastAsia="Times New Roman" w:hAnsi="Sylfaen" w:cs="Arial"/>
                <w:sz w:val="18"/>
                <w:szCs w:val="18"/>
              </w:rPr>
            </w:pPr>
            <w:r w:rsidRPr="00C9780C">
              <w:rPr>
                <w:rFonts w:ascii="Sylfaen" w:eastAsia="Times New Roman" w:hAnsi="Sylfaen" w:cs="Arial"/>
                <w:sz w:val="18"/>
                <w:szCs w:val="18"/>
              </w:rPr>
              <w:t>ცვლილება</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-0,2%</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7" w:type="pct"/>
            <w:shd w:val="clear" w:color="auto" w:fill="auto"/>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0,0%</w:t>
            </w:r>
          </w:p>
        </w:tc>
        <w:tc>
          <w:tcPr>
            <w:tcW w:w="586" w:type="pct"/>
            <w:shd w:val="clear" w:color="000000" w:fill="FDE9D9"/>
            <w:noWrap/>
            <w:vAlign w:val="center"/>
            <w:hideMark/>
          </w:tcPr>
          <w:p w:rsidR="009C03FF" w:rsidRPr="00C9780C" w:rsidRDefault="009C03FF" w:rsidP="009C03FF">
            <w:pPr>
              <w:spacing w:after="0" w:line="240" w:lineRule="auto"/>
              <w:jc w:val="center"/>
              <w:rPr>
                <w:rFonts w:ascii="Sylfaen" w:eastAsia="Times New Roman" w:hAnsi="Sylfaen" w:cs="Arial"/>
                <w:sz w:val="18"/>
                <w:szCs w:val="18"/>
              </w:rPr>
            </w:pPr>
            <w:r w:rsidRPr="00C9780C">
              <w:rPr>
                <w:rFonts w:ascii="Sylfaen" w:eastAsia="Times New Roman" w:hAnsi="Sylfaen" w:cs="Arial"/>
                <w:sz w:val="18"/>
                <w:szCs w:val="18"/>
              </w:rPr>
              <w:t> </w:t>
            </w:r>
          </w:p>
        </w:tc>
      </w:tr>
    </w:tbl>
    <w:p w:rsidR="00AD738A" w:rsidRPr="00C9780C" w:rsidRDefault="00AD738A" w:rsidP="00AD738A">
      <w:pPr>
        <w:spacing w:line="276" w:lineRule="auto"/>
        <w:jc w:val="both"/>
        <w:rPr>
          <w:rFonts w:ascii="Sylfaen" w:hAnsi="Sylfaen"/>
          <w:lang w:val="ka-GE"/>
        </w:rPr>
      </w:pPr>
    </w:p>
    <w:p w:rsidR="00585FF0" w:rsidRPr="00C9780C" w:rsidRDefault="00585FF0" w:rsidP="00AD738A">
      <w:pPr>
        <w:spacing w:line="276" w:lineRule="auto"/>
        <w:jc w:val="both"/>
        <w:rPr>
          <w:rFonts w:ascii="Sylfaen" w:hAnsi="Sylfaen"/>
          <w:lang w:val="ka-GE"/>
        </w:rPr>
      </w:pPr>
    </w:p>
    <w:p w:rsidR="0067395F" w:rsidRPr="00C9780C" w:rsidRDefault="0067395F" w:rsidP="00BC68CE">
      <w:pPr>
        <w:pStyle w:val="Heading2"/>
        <w:ind w:left="426"/>
        <w:jc w:val="both"/>
        <w:rPr>
          <w:rFonts w:ascii="Sylfaen" w:hAnsi="Sylfaen"/>
          <w:lang w:val="ka-GE"/>
        </w:rPr>
      </w:pPr>
      <w:bookmarkStart w:id="3" w:name="_Toc76394890"/>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მშპ-ის </w:t>
      </w:r>
      <w:r w:rsidR="00557078" w:rsidRPr="00C9780C">
        <w:rPr>
          <w:rFonts w:ascii="Sylfaen" w:hAnsi="Sylfaen" w:cs="Sylfaen"/>
          <w:lang w:val="ka-GE"/>
        </w:rPr>
        <w:t xml:space="preserve">9%,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rsidR="00A344A4"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მცირდება 7.7%-დან 6.9%-</w:t>
      </w:r>
      <w:r w:rsidR="0032238B">
        <w:rPr>
          <w:rFonts w:ascii="Sylfaen" w:hAnsi="Sylfaen" w:cs="Sylfaen"/>
          <w:lang w:val="ka-GE"/>
        </w:rPr>
        <w:t>მდე. 2020 წლისთვის ორგანული კანონით გათვალისწინებული სახელმწიფოს ერთიანი ბიუჯეტის მთლიანი სალდო პროგნოზირებულია მშპ-ის 4.1%-ის ფარგლებში</w:t>
      </w:r>
      <w:r w:rsidRPr="00C9780C">
        <w:rPr>
          <w:rFonts w:ascii="Sylfaen" w:hAnsi="Sylfaen" w:cs="Sylfaen"/>
          <w:lang w:val="ka-GE"/>
        </w:rPr>
        <w:t>, ხოლო 2023 წლისათვის ჩამოდის 2.8%-მდე.</w:t>
      </w:r>
    </w:p>
    <w:p w:rsidR="00BC68CE" w:rsidRDefault="00BC68CE" w:rsidP="00AD738A">
      <w:pPr>
        <w:tabs>
          <w:tab w:val="left" w:pos="90"/>
        </w:tabs>
        <w:spacing w:after="120" w:line="276" w:lineRule="auto"/>
        <w:ind w:firstLine="720"/>
        <w:jc w:val="both"/>
        <w:rPr>
          <w:rFonts w:ascii="Sylfaen" w:hAnsi="Sylfaen" w:cs="Sylfaen"/>
        </w:rPr>
      </w:pPr>
    </w:p>
    <w:p w:rsidR="00334A00" w:rsidRDefault="00334A00" w:rsidP="00AD738A">
      <w:pPr>
        <w:tabs>
          <w:tab w:val="left" w:pos="90"/>
        </w:tabs>
        <w:spacing w:after="120" w:line="276" w:lineRule="auto"/>
        <w:ind w:firstLine="720"/>
        <w:jc w:val="both"/>
        <w:rPr>
          <w:rFonts w:ascii="Sylfaen" w:hAnsi="Sylfaen" w:cs="Sylfaen"/>
        </w:rPr>
      </w:pPr>
    </w:p>
    <w:p w:rsidR="00334A00" w:rsidRPr="00C9780C" w:rsidRDefault="00334A00" w:rsidP="00AD738A">
      <w:pPr>
        <w:tabs>
          <w:tab w:val="left" w:pos="90"/>
        </w:tabs>
        <w:spacing w:after="120" w:line="276" w:lineRule="auto"/>
        <w:ind w:firstLine="720"/>
        <w:jc w:val="both"/>
        <w:rPr>
          <w:rFonts w:ascii="Sylfaen" w:hAnsi="Sylfaen" w:cs="Sylfaen"/>
        </w:rPr>
      </w:pPr>
    </w:p>
    <w:p w:rsidR="00044987" w:rsidRPr="00334A00"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47"/>
        <w:gridCol w:w="950"/>
        <w:gridCol w:w="950"/>
        <w:gridCol w:w="949"/>
        <w:gridCol w:w="949"/>
        <w:gridCol w:w="949"/>
        <w:gridCol w:w="949"/>
        <w:gridCol w:w="947"/>
      </w:tblGrid>
      <w:tr w:rsidR="002F1C52" w:rsidRPr="00C9780C" w:rsidTr="000E4929">
        <w:trPr>
          <w:trHeight w:val="113"/>
          <w:tblHeader/>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 xml:space="preserve">2019 </w:t>
            </w:r>
            <w:r w:rsidRPr="00C9780C">
              <w:rPr>
                <w:rFonts w:ascii="Sylfaen" w:eastAsia="Times New Roman" w:hAnsi="Sylfaen" w:cs="Sylfaen"/>
                <w:b/>
                <w:bCs/>
                <w:color w:val="000000"/>
                <w:sz w:val="20"/>
                <w:szCs w:val="20"/>
              </w:rPr>
              <w:t>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2020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2021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2022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2023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2024 წელი</w:t>
            </w:r>
          </w:p>
        </w:tc>
        <w:tc>
          <w:tcPr>
            <w:tcW w:w="480" w:type="pct"/>
            <w:shd w:val="clear" w:color="000000" w:fill="FFFFFF"/>
            <w:vAlign w:val="center"/>
            <w:hideMark/>
          </w:tcPr>
          <w:p w:rsidR="002F1C52" w:rsidRPr="00C9780C" w:rsidRDefault="002F1C52" w:rsidP="002F1C52">
            <w:pPr>
              <w:spacing w:after="0" w:line="240" w:lineRule="auto"/>
              <w:jc w:val="center"/>
              <w:rPr>
                <w:rFonts w:ascii="Sylfaen" w:eastAsia="Times New Roman" w:hAnsi="Sylfaen" w:cs="Arial"/>
                <w:b/>
                <w:bCs/>
                <w:color w:val="000000"/>
                <w:sz w:val="20"/>
                <w:szCs w:val="20"/>
              </w:rPr>
            </w:pPr>
            <w:r w:rsidRPr="00C9780C">
              <w:rPr>
                <w:rFonts w:ascii="Sylfaen" w:eastAsia="Times New Roman" w:hAnsi="Sylfaen" w:cs="Arial"/>
                <w:b/>
                <w:bCs/>
                <w:color w:val="000000"/>
                <w:sz w:val="20"/>
                <w:szCs w:val="20"/>
              </w:rPr>
              <w:t xml:space="preserve">2025 </w:t>
            </w:r>
            <w:r w:rsidRPr="00C9780C">
              <w:rPr>
                <w:rFonts w:ascii="Sylfaen" w:eastAsia="Times New Roman" w:hAnsi="Sylfaen" w:cs="Sylfaen"/>
                <w:b/>
                <w:bCs/>
                <w:color w:val="000000"/>
                <w:sz w:val="20"/>
                <w:szCs w:val="20"/>
              </w:rPr>
              <w:t>წელი</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არადეფიციტური შემოსულობები (შემოსავლები + არაფინანსური აქტივბის კლება)</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25,5%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26,1%</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-1,1%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0,8%</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ხარჯები</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21,4%</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25,2%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23,0%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22,1%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21,4%</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4,9%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-1,0%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-2,2%</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არაფინანსური აქტივების ზრდა</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8,0%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8,6%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8,1%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7,5%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6,9%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6,9%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7,0%</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-0,7%</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r w:rsidR="002F1C52" w:rsidRPr="00C9780C" w:rsidTr="000E4929">
        <w:trPr>
          <w:trHeight w:val="113"/>
        </w:trPr>
        <w:tc>
          <w:tcPr>
            <w:tcW w:w="1641" w:type="pct"/>
            <w:shd w:val="clear" w:color="000000" w:fill="FFFFFF"/>
            <w:noWrap/>
            <w:vAlign w:val="center"/>
            <w:hideMark/>
          </w:tcPr>
          <w:p w:rsidR="002F1C52" w:rsidRPr="00C9780C" w:rsidRDefault="002F1C52" w:rsidP="002F1C52">
            <w:pPr>
              <w:spacing w:after="0" w:line="240" w:lineRule="auto"/>
              <w:rPr>
                <w:rFonts w:ascii="Sylfaen" w:eastAsia="Times New Roman" w:hAnsi="Sylfaen" w:cs="Arial"/>
                <w:color w:val="000000"/>
                <w:sz w:val="20"/>
                <w:szCs w:val="20"/>
              </w:rPr>
            </w:pPr>
            <w:r w:rsidRPr="00C9780C">
              <w:rPr>
                <w:rFonts w:ascii="Sylfaen" w:eastAsia="Times New Roman" w:hAnsi="Sylfaen" w:cs="Arial"/>
                <w:color w:val="000000"/>
                <w:sz w:val="20"/>
                <w:szCs w:val="20"/>
              </w:rPr>
              <w:t>უარყოფითი მთლიანი სალდო</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-2,6%</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-9,0%</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-6,9%</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-4,1%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-2,8%</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-2,5%</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-2,3%</w:t>
            </w:r>
          </w:p>
        </w:tc>
      </w:tr>
      <w:tr w:rsidR="002F1C52" w:rsidRPr="00C9780C" w:rsidTr="000E4929">
        <w:trPr>
          <w:trHeight w:val="113"/>
        </w:trPr>
        <w:tc>
          <w:tcPr>
            <w:tcW w:w="1641" w:type="pct"/>
            <w:shd w:val="clear" w:color="000000" w:fill="FFFFFF"/>
            <w:vAlign w:val="center"/>
            <w:hideMark/>
          </w:tcPr>
          <w:p w:rsidR="002F1C52" w:rsidRPr="00C9780C" w:rsidRDefault="002F1C52" w:rsidP="002F1C52">
            <w:pPr>
              <w:spacing w:after="0" w:line="240" w:lineRule="auto"/>
              <w:rPr>
                <w:rFonts w:ascii="Sylfaen" w:eastAsia="Times New Roman" w:hAnsi="Sylfaen" w:cs="Arial"/>
                <w:i/>
                <w:iCs/>
                <w:color w:val="000000"/>
                <w:sz w:val="20"/>
                <w:szCs w:val="20"/>
              </w:rPr>
            </w:pPr>
            <w:r w:rsidRPr="00C9780C">
              <w:rPr>
                <w:rFonts w:ascii="Sylfaen" w:eastAsia="Times New Roman" w:hAnsi="Sylfaen" w:cs="Arial"/>
                <w:i/>
                <w:iCs/>
                <w:color w:val="000000"/>
                <w:sz w:val="20"/>
                <w:szCs w:val="20"/>
              </w:rPr>
              <w:t>+/- სხვაობა წინა წელთან</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c>
          <w:tcPr>
            <w:tcW w:w="480" w:type="pct"/>
            <w:shd w:val="clear" w:color="000000" w:fill="FFFFFF"/>
            <w:noWrap/>
            <w:vAlign w:val="center"/>
            <w:hideMark/>
          </w:tcPr>
          <w:p w:rsidR="002F1C52" w:rsidRPr="000E4929" w:rsidRDefault="002F1C52" w:rsidP="002F1C52">
            <w:pPr>
              <w:spacing w:after="0" w:line="240" w:lineRule="auto"/>
              <w:jc w:val="center"/>
              <w:rPr>
                <w:rFonts w:ascii="Sylfaen" w:eastAsia="Times New Roman" w:hAnsi="Sylfaen" w:cs="Arial"/>
                <w:color w:val="000000"/>
                <w:sz w:val="20"/>
                <w:szCs w:val="20"/>
                <w:lang w:val="ka-GE"/>
              </w:rPr>
            </w:pPr>
            <w:r w:rsidRPr="00C9780C">
              <w:rPr>
                <w:rFonts w:ascii="Sylfaen" w:eastAsia="Times New Roman" w:hAnsi="Sylfaen" w:cs="Arial"/>
                <w:color w:val="000000"/>
                <w:sz w:val="20"/>
                <w:szCs w:val="20"/>
              </w:rPr>
              <w:t> </w:t>
            </w:r>
            <w:r w:rsidR="000E4929">
              <w:rPr>
                <w:rFonts w:ascii="Sylfaen" w:eastAsia="Times New Roman" w:hAnsi="Sylfaen" w:cs="Arial"/>
                <w:color w:val="000000"/>
                <w:sz w:val="20"/>
                <w:szCs w:val="20"/>
                <w:lang w:val="ka-GE"/>
              </w:rPr>
              <w:t>-6,4%</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2,1%</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2,8%</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1,3%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0,3%</w:t>
            </w:r>
          </w:p>
        </w:tc>
        <w:tc>
          <w:tcPr>
            <w:tcW w:w="480" w:type="pct"/>
            <w:shd w:val="clear" w:color="000000" w:fill="FFFFFF"/>
            <w:noWrap/>
            <w:vAlign w:val="center"/>
            <w:hideMark/>
          </w:tcPr>
          <w:p w:rsidR="002F1C52" w:rsidRPr="00C9780C" w:rsidRDefault="002F1C52" w:rsidP="002F1C52">
            <w:pPr>
              <w:spacing w:after="0" w:line="240" w:lineRule="auto"/>
              <w:jc w:val="center"/>
              <w:rPr>
                <w:rFonts w:ascii="Sylfaen" w:eastAsia="Times New Roman" w:hAnsi="Sylfaen" w:cs="Arial"/>
                <w:color w:val="000000"/>
                <w:sz w:val="20"/>
                <w:szCs w:val="20"/>
              </w:rPr>
            </w:pPr>
            <w:r w:rsidRPr="00C9780C">
              <w:rPr>
                <w:rFonts w:ascii="Sylfaen" w:eastAsia="Times New Roman" w:hAnsi="Sylfaen" w:cs="Arial"/>
                <w:color w:val="000000"/>
                <w:sz w:val="20"/>
                <w:szCs w:val="20"/>
              </w:rPr>
              <w:t> </w:t>
            </w:r>
          </w:p>
        </w:tc>
      </w:tr>
    </w:tbl>
    <w:p w:rsidR="00AD738A" w:rsidRPr="00C9780C" w:rsidRDefault="00AD738A" w:rsidP="00AD738A">
      <w:pPr>
        <w:tabs>
          <w:tab w:val="left" w:pos="90"/>
        </w:tabs>
        <w:spacing w:after="120" w:line="276" w:lineRule="auto"/>
        <w:ind w:firstLine="720"/>
        <w:jc w:val="both"/>
        <w:rPr>
          <w:rFonts w:ascii="Sylfaen" w:hAnsi="Sylfaen" w:cs="Sylfaen"/>
          <w:lang w:val="ka-GE"/>
        </w:rPr>
      </w:pPr>
    </w:p>
    <w:p w:rsidR="00D75C72" w:rsidRDefault="009973A2" w:rsidP="00D75C72">
      <w:pPr>
        <w:spacing w:line="276" w:lineRule="auto"/>
        <w:ind w:firstLine="720"/>
        <w:jc w:val="both"/>
        <w:rPr>
          <w:rFonts w:ascii="Sylfaen" w:hAnsi="Sylfaen" w:cs="Sylfaen"/>
          <w:lang w:val="ka-GE"/>
        </w:rPr>
      </w:pPr>
      <w:r w:rsidRPr="00C9780C">
        <w:rPr>
          <w:rFonts w:ascii="Sylfaen" w:hAnsi="Sylfaen" w:cs="Sylfaen"/>
          <w:lang w:val="ka-GE"/>
        </w:rPr>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მშპ-</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2021 წელს </w:t>
      </w:r>
      <w:r w:rsidR="0005717F" w:rsidRPr="00C9780C">
        <w:rPr>
          <w:rFonts w:ascii="Sylfaen" w:hAnsi="Sylfaen" w:cs="Sylfaen"/>
          <w:lang w:val="ka-GE"/>
        </w:rPr>
        <w:t>განახლებული პროგნოზით 7</w:t>
      </w:r>
      <w:r w:rsidRPr="00C9780C">
        <w:rPr>
          <w:rFonts w:ascii="Sylfaen" w:hAnsi="Sylfaen" w:cs="Sylfaen"/>
          <w:lang w:val="ka-GE"/>
        </w:rPr>
        <w:t>.</w:t>
      </w:r>
      <w:r w:rsidR="0005717F" w:rsidRPr="00C9780C">
        <w:rPr>
          <w:rFonts w:ascii="Sylfaen" w:hAnsi="Sylfaen" w:cs="Sylfaen"/>
          <w:lang w:val="ka-GE"/>
        </w:rPr>
        <w:t>7</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r w:rsidR="00704ED0" w:rsidRPr="00C9780C">
        <w:rPr>
          <w:rFonts w:ascii="Sylfaen" w:hAnsi="Sylfaen" w:cs="Sylfaen"/>
          <w:lang w:val="ka-GE"/>
        </w:rPr>
        <w:t>საშუალოვადიან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05717F" w:rsidRPr="00C9780C">
        <w:rPr>
          <w:rFonts w:ascii="Sylfaen" w:hAnsi="Sylfaen" w:cs="Sylfaen"/>
          <w:lang w:val="ka-GE"/>
        </w:rPr>
        <w:t>7</w:t>
      </w:r>
      <w:r w:rsidR="00AD738A" w:rsidRPr="00C9780C">
        <w:rPr>
          <w:rFonts w:ascii="Sylfaen" w:hAnsi="Sylfaen" w:cs="Sylfaen"/>
          <w:lang w:val="ka-GE"/>
        </w:rPr>
        <w:t>%-ს მიაღწევს</w:t>
      </w:r>
      <w:r w:rsidRPr="00C9780C">
        <w:rPr>
          <w:rFonts w:ascii="Sylfaen" w:hAnsi="Sylfaen" w:cs="Sylfaen"/>
          <w:lang w:val="ka-GE"/>
        </w:rPr>
        <w:t xml:space="preserve">, </w:t>
      </w:r>
      <w:r w:rsidR="00A97679">
        <w:rPr>
          <w:rFonts w:ascii="Sylfaen" w:hAnsi="Sylfaen" w:cs="Sylfaen"/>
          <w:lang w:val="ka-GE"/>
        </w:rPr>
        <w:t xml:space="preserve">პანდემიის საპასუხოდ, </w:t>
      </w:r>
      <w:r w:rsidRPr="00C9780C">
        <w:rPr>
          <w:rFonts w:ascii="Sylfaen" w:hAnsi="Sylfaen" w:cs="Sylfaen"/>
          <w:lang w:val="ka-GE"/>
        </w:rPr>
        <w:t xml:space="preserve">2021 წელს </w:t>
      </w:r>
      <w:r w:rsidR="00A97679">
        <w:rPr>
          <w:rFonts w:ascii="Sylfaen" w:hAnsi="Sylfaen" w:cs="Sylfaen"/>
          <w:lang w:val="ka-GE"/>
        </w:rPr>
        <w:t xml:space="preserve">არსებული შეღავათბის </w:t>
      </w:r>
      <w:r w:rsidRPr="00C9780C">
        <w:rPr>
          <w:rFonts w:ascii="Sylfaen" w:hAnsi="Sylfaen" w:cs="Sylfaen"/>
          <w:lang w:val="ka-GE"/>
        </w:rPr>
        <w:t>გათვალისწინებით</w:t>
      </w:r>
      <w:r w:rsidR="00334A00">
        <w:rPr>
          <w:rFonts w:ascii="Sylfaen" w:hAnsi="Sylfaen" w:cs="Sylfaen"/>
          <w:lang w:val="ka-GE"/>
        </w:rPr>
        <w:t>,</w:t>
      </w:r>
      <w:r w:rsidRPr="00C9780C">
        <w:rPr>
          <w:rFonts w:ascii="Sylfaen" w:hAnsi="Sylfaen" w:cs="Sylfaen"/>
          <w:lang w:val="ka-GE"/>
        </w:rPr>
        <w:t xml:space="preserve">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მშპ-თან მიმართებაში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05717F" w:rsidRPr="00C9780C">
        <w:rPr>
          <w:rFonts w:ascii="Sylfaen" w:hAnsi="Sylfaen" w:cs="Sylfaen"/>
          <w:lang w:val="ka-GE"/>
        </w:rPr>
        <w:t>8</w:t>
      </w:r>
      <w:r w:rsidRPr="00C9780C">
        <w:rPr>
          <w:rFonts w:ascii="Sylfaen" w:hAnsi="Sylfaen" w:cs="Sylfaen"/>
          <w:lang w:val="ka-GE"/>
        </w:rPr>
        <w:t xml:space="preserve"> პროცენტული პუნქტით</w:t>
      </w:r>
      <w:r w:rsidR="0005717F" w:rsidRPr="00C9780C">
        <w:rPr>
          <w:rFonts w:ascii="Sylfaen" w:hAnsi="Sylfaen" w:cs="Sylfaen"/>
          <w:lang w:val="ka-GE"/>
        </w:rPr>
        <w:t xml:space="preserve"> და თითქმის უახლოვდება 2019 წლის მაჩვენებელს</w:t>
      </w:r>
      <w:r w:rsidRPr="00C9780C">
        <w:rPr>
          <w:rFonts w:ascii="Sylfaen" w:hAnsi="Sylfaen" w:cs="Sylfaen"/>
          <w:lang w:val="ka-GE"/>
        </w:rPr>
        <w:t xml:space="preserve">. </w:t>
      </w:r>
      <w:r w:rsidR="00A546A7" w:rsidRPr="00C9780C">
        <w:rPr>
          <w:rFonts w:ascii="Sylfaen" w:hAnsi="Sylfaen" w:cs="Sylfaen"/>
          <w:lang w:val="ka-GE"/>
        </w:rPr>
        <w:t>2022 წლიდან ეტაპობრივად აღდგე</w:t>
      </w:r>
      <w:r w:rsidR="00776610" w:rsidRPr="00C9780C">
        <w:rPr>
          <w:rFonts w:ascii="Sylfaen" w:hAnsi="Sylfaen" w:cs="Sylfaen"/>
          <w:lang w:val="ka-GE"/>
        </w:rPr>
        <w:t>ბ</w:t>
      </w:r>
      <w:r w:rsidR="00A546A7" w:rsidRPr="00C9780C">
        <w:rPr>
          <w:rFonts w:ascii="Sylfaen" w:hAnsi="Sylfaen" w:cs="Sylfaen"/>
          <w:lang w:val="ka-GE"/>
        </w:rPr>
        <w:t xml:space="preserve">ა გადასახადების ბაზა და არადეფიციტური შემოსავლები მშპ-თან მიმართებაში. </w:t>
      </w:r>
      <w:r w:rsidR="00AD738A" w:rsidRPr="00C9780C">
        <w:rPr>
          <w:rFonts w:ascii="Sylfaen" w:hAnsi="Sylfaen" w:cs="Sylfaen"/>
          <w:lang w:val="ka-GE"/>
        </w:rPr>
        <w:t>ეკონომიკური ზრდის აღდგენა გამოიწვევს არადეფიციტური შემოსავლების ზრდას მშპ-თან მიმართებაში</w:t>
      </w:r>
      <w:r w:rsidR="0074751F" w:rsidRPr="00C9780C">
        <w:rPr>
          <w:rFonts w:ascii="Sylfaen" w:hAnsi="Sylfaen" w:cs="Sylfaen"/>
        </w:rPr>
        <w:t xml:space="preserve">. </w:t>
      </w:r>
      <w:r w:rsidR="00AD738A" w:rsidRPr="00C9780C">
        <w:rPr>
          <w:rFonts w:ascii="Sylfaen" w:hAnsi="Sylfaen" w:cs="Sylfaen"/>
          <w:lang w:val="ka-GE"/>
        </w:rPr>
        <w:t xml:space="preserve">სახელმწიფო პენსიის ინდექსაციის მიუხედავად, 2021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C9780C">
        <w:rPr>
          <w:rFonts w:ascii="Sylfaen" w:hAnsi="Sylfaen" w:cs="Sylfaen"/>
          <w:lang w:val="ka-GE"/>
        </w:rPr>
        <w:t>ხარჯები</w:t>
      </w:r>
      <w:r w:rsidR="00334A00">
        <w:rPr>
          <w:rFonts w:ascii="Sylfaen" w:hAnsi="Sylfaen" w:cs="Sylfaen"/>
          <w:lang w:val="ka-GE"/>
        </w:rPr>
        <w:t>ს</w:t>
      </w:r>
      <w:r w:rsidR="00AD738A" w:rsidRPr="00C9780C">
        <w:rPr>
          <w:rFonts w:ascii="Sylfaen" w:hAnsi="Sylfaen" w:cs="Sylfaen"/>
          <w:lang w:val="ka-GE"/>
        </w:rPr>
        <w:t xml:space="preserve"> მშპ-ის 2</w:t>
      </w:r>
      <w:r w:rsidR="00A546A7" w:rsidRPr="00C9780C">
        <w:rPr>
          <w:rFonts w:ascii="Sylfaen" w:hAnsi="Sylfaen" w:cs="Sylfaen"/>
          <w:lang w:val="ka-GE"/>
        </w:rPr>
        <w:t>5.</w:t>
      </w:r>
      <w:r w:rsidR="00CC180B" w:rsidRPr="00C9780C">
        <w:rPr>
          <w:rFonts w:ascii="Sylfaen" w:hAnsi="Sylfaen" w:cs="Sylfaen"/>
          <w:lang w:val="ka-GE"/>
        </w:rPr>
        <w:t>2</w:t>
      </w:r>
      <w:r w:rsidR="00AD738A" w:rsidRPr="00C9780C">
        <w:rPr>
          <w:rFonts w:ascii="Sylfaen" w:hAnsi="Sylfaen" w:cs="Sylfaen"/>
          <w:lang w:val="ka-GE"/>
        </w:rPr>
        <w:t>%-ის ფარგლებში</w:t>
      </w:r>
      <w:r w:rsidR="008E75CE" w:rsidRPr="00C9780C">
        <w:rPr>
          <w:rFonts w:ascii="Sylfaen" w:hAnsi="Sylfaen" w:cs="Sylfaen"/>
          <w:lang w:val="ka-GE"/>
        </w:rPr>
        <w:t xml:space="preserve">, </w:t>
      </w:r>
      <w:r w:rsidR="00AD738A" w:rsidRPr="00C9780C">
        <w:rPr>
          <w:rFonts w:ascii="Sylfaen" w:hAnsi="Sylfaen" w:cs="Sylfaen"/>
          <w:lang w:val="ka-GE"/>
        </w:rPr>
        <w:t xml:space="preserve">ხოლო საშუალოვადიან პერიოდში </w:t>
      </w:r>
      <w:r w:rsidR="0074751F" w:rsidRPr="00C9780C">
        <w:rPr>
          <w:rFonts w:ascii="Sylfaen" w:hAnsi="Sylfaen" w:cs="Sylfaen"/>
        </w:rPr>
        <w:t>23%-</w:t>
      </w:r>
      <w:r w:rsidR="0074751F" w:rsidRPr="00C9780C">
        <w:rPr>
          <w:rFonts w:ascii="Sylfaen" w:hAnsi="Sylfaen" w:cs="Sylfaen"/>
          <w:lang w:val="ka-GE"/>
        </w:rPr>
        <w:t xml:space="preserve">ის ფარგლებში ჩამოსვლა, </w:t>
      </w:r>
      <w:r w:rsidR="00776610" w:rsidRPr="00C9780C">
        <w:rPr>
          <w:rFonts w:ascii="Sylfaen" w:hAnsi="Sylfaen" w:cs="Sylfaen"/>
          <w:lang w:val="ka-GE"/>
        </w:rPr>
        <w:t>ასევე</w:t>
      </w:r>
      <w:r w:rsidR="0074751F" w:rsidRPr="00C9780C">
        <w:rPr>
          <w:rFonts w:ascii="Sylfaen" w:hAnsi="Sylfaen" w:cs="Sylfaen"/>
          <w:lang w:val="ka-GE"/>
        </w:rPr>
        <w:t xml:space="preserve"> </w:t>
      </w:r>
      <w:r w:rsidR="00AD738A" w:rsidRPr="00C9780C">
        <w:rPr>
          <w:rFonts w:ascii="Sylfaen" w:hAnsi="Sylfaen" w:cs="Sylfaen"/>
          <w:lang w:val="ka-GE"/>
        </w:rPr>
        <w:t xml:space="preserve">არაფინანსური აქტივების ზრდის </w:t>
      </w:r>
      <w:r w:rsidR="009D41D3" w:rsidRPr="00C9780C">
        <w:rPr>
          <w:rFonts w:ascii="Sylfaen" w:hAnsi="Sylfaen" w:cs="Sylfaen"/>
          <w:lang w:val="ka-GE"/>
        </w:rPr>
        <w:t xml:space="preserve">საშუალოდ </w:t>
      </w:r>
      <w:r w:rsidR="00CC180B" w:rsidRPr="00C9780C">
        <w:rPr>
          <w:rFonts w:ascii="Sylfaen" w:hAnsi="Sylfaen" w:cs="Sylfaen"/>
          <w:lang w:val="ka-GE"/>
        </w:rPr>
        <w:t>7</w:t>
      </w:r>
      <w:r w:rsidR="009D41D3" w:rsidRPr="00C9780C">
        <w:rPr>
          <w:rFonts w:ascii="Sylfaen" w:hAnsi="Sylfaen" w:cs="Sylfaen"/>
          <w:lang w:val="ka-GE"/>
        </w:rPr>
        <w:t>.</w:t>
      </w:r>
      <w:r w:rsidR="00CC180B" w:rsidRPr="00C9780C">
        <w:rPr>
          <w:rFonts w:ascii="Sylfaen" w:hAnsi="Sylfaen" w:cs="Sylfaen"/>
          <w:lang w:val="ka-GE"/>
        </w:rPr>
        <w:t>1</w:t>
      </w:r>
      <w:r w:rsidR="009D41D3" w:rsidRPr="00C9780C">
        <w:rPr>
          <w:rFonts w:ascii="Sylfaen" w:hAnsi="Sylfaen" w:cs="Sylfaen"/>
          <w:lang w:val="ka-GE"/>
        </w:rPr>
        <w:t xml:space="preserve">%-ის ფარგლებში </w:t>
      </w:r>
      <w:r w:rsidR="00AD738A" w:rsidRPr="00C9780C">
        <w:rPr>
          <w:rFonts w:ascii="Sylfaen" w:hAnsi="Sylfaen" w:cs="Sylfaen"/>
          <w:lang w:val="ka-GE"/>
        </w:rPr>
        <w:t>შენარჩუნება</w:t>
      </w:r>
      <w:r w:rsidR="00776610" w:rsidRPr="00C9780C">
        <w:rPr>
          <w:rFonts w:ascii="Sylfaen" w:hAnsi="Sylfaen" w:cs="Sylfaen"/>
          <w:lang w:val="ka-GE"/>
        </w:rPr>
        <w:t>,</w:t>
      </w:r>
      <w:r w:rsidR="00AD738A" w:rsidRPr="00C9780C">
        <w:rPr>
          <w:rFonts w:ascii="Sylfaen" w:hAnsi="Sylfaen" w:cs="Sylfaen"/>
          <w:lang w:val="ka-GE"/>
        </w:rPr>
        <w:t xml:space="preserve"> საშუალებას იძლევა 2023 წლისთვის დეფიციტი შემცი</w:t>
      </w:r>
      <w:r w:rsidR="009D41D3" w:rsidRPr="00C9780C">
        <w:rPr>
          <w:rFonts w:ascii="Sylfaen" w:hAnsi="Sylfaen" w:cs="Sylfaen"/>
          <w:lang w:val="ka-GE"/>
        </w:rPr>
        <w:t>რ</w:t>
      </w:r>
      <w:r w:rsidR="00AD738A" w:rsidRPr="00C9780C">
        <w:rPr>
          <w:rFonts w:ascii="Sylfaen" w:hAnsi="Sylfaen" w:cs="Sylfaen"/>
          <w:lang w:val="ka-GE"/>
        </w:rPr>
        <w:t xml:space="preserve">დეს </w:t>
      </w:r>
      <w:r w:rsidR="00CC180B" w:rsidRPr="00C9780C">
        <w:rPr>
          <w:rFonts w:ascii="Sylfaen" w:hAnsi="Sylfaen" w:cs="Sylfaen"/>
          <w:lang w:val="ka-GE"/>
        </w:rPr>
        <w:t>2,8</w:t>
      </w:r>
      <w:r w:rsidR="00AD738A" w:rsidRPr="00C9780C">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w:t>
      </w:r>
      <w:r w:rsidR="00334A00">
        <w:rPr>
          <w:rFonts w:ascii="Sylfaen" w:hAnsi="Sylfaen" w:cs="Sylfaen"/>
          <w:lang w:val="ka-GE"/>
        </w:rPr>
        <w:t>ი</w:t>
      </w:r>
      <w:r w:rsidR="00AD738A" w:rsidRPr="00C9780C">
        <w:rPr>
          <w:rFonts w:ascii="Sylfaen" w:hAnsi="Sylfaen" w:cs="Sylfaen"/>
          <w:lang w:val="ka-GE"/>
        </w:rPr>
        <w:t xml:space="preserve"> </w:t>
      </w:r>
      <w:r w:rsidR="00AD738A" w:rsidRPr="00A97679">
        <w:rPr>
          <w:rFonts w:ascii="Sylfaen" w:hAnsi="Sylfaen" w:cs="Sylfaen"/>
          <w:lang w:val="ka-GE"/>
        </w:rPr>
        <w:t xml:space="preserve">დეფიციტის ზღვრულ ნიშნულს. </w:t>
      </w:r>
      <w:r w:rsidR="00D75C72" w:rsidRPr="00A97679">
        <w:rPr>
          <w:rFonts w:ascii="Sylfaen" w:hAnsi="Sylfaen" w:cs="Sylfaen"/>
          <w:lang w:val="ka-GE"/>
        </w:rPr>
        <w:t>თუმცა დეფიციტის შემცირების პარალელურად</w:t>
      </w:r>
      <w:r w:rsidR="00334A00" w:rsidRPr="00A97679">
        <w:rPr>
          <w:rFonts w:ascii="Sylfaen" w:hAnsi="Sylfaen" w:cs="Sylfaen"/>
          <w:lang w:val="ka-GE"/>
        </w:rPr>
        <w:t>,</w:t>
      </w:r>
      <w:r w:rsidR="00D75C72" w:rsidRPr="00A97679">
        <w:rPr>
          <w:rFonts w:ascii="Sylfaen" w:hAnsi="Sylfaen" w:cs="Sylfaen"/>
          <w:lang w:val="ka-GE"/>
        </w:rPr>
        <w:t xml:space="preserve"> მომდევნო წლებშიც კაპიტალური ხარჯების 8%-ის ფარგლებში შენარჩუნება </w:t>
      </w:r>
      <w:r w:rsidR="009D41D3" w:rsidRPr="00A97679">
        <w:rPr>
          <w:rFonts w:ascii="Sylfaen" w:hAnsi="Sylfaen" w:cs="Sylfaen"/>
          <w:lang w:val="ka-GE"/>
        </w:rPr>
        <w:t>ასევე მნიშვნელოვან</w:t>
      </w:r>
      <w:r w:rsidR="00776610" w:rsidRPr="00A97679">
        <w:rPr>
          <w:rFonts w:ascii="Sylfaen" w:hAnsi="Sylfaen" w:cs="Sylfaen"/>
          <w:lang w:val="ka-GE"/>
        </w:rPr>
        <w:t>ი</w:t>
      </w:r>
      <w:r w:rsidR="009D41D3" w:rsidRPr="00A97679">
        <w:rPr>
          <w:rFonts w:ascii="Sylfaen" w:hAnsi="Sylfaen" w:cs="Sylfaen"/>
          <w:lang w:val="ka-GE"/>
        </w:rPr>
        <w:t xml:space="preserve"> გამოწვევაა, ამასთან 23%-ის ფარგლებში მიმდინარე ხარჯები პენსიის ინდექსაციის, განათლების რეფორმის და სხვა მნიშვ</w:t>
      </w:r>
      <w:r w:rsidR="00776610" w:rsidRPr="00A97679">
        <w:rPr>
          <w:rFonts w:ascii="Sylfaen" w:hAnsi="Sylfaen" w:cs="Sylfaen"/>
          <w:lang w:val="ka-GE"/>
        </w:rPr>
        <w:t>ნ</w:t>
      </w:r>
      <w:r w:rsidR="009D41D3" w:rsidRPr="00A97679">
        <w:rPr>
          <w:rFonts w:ascii="Sylfaen" w:hAnsi="Sylfaen" w:cs="Sylfaen"/>
          <w:lang w:val="ka-GE"/>
        </w:rPr>
        <w:t>ელოვანი სტრუქტურული რეფორმების საჭიროების ფონზე</w:t>
      </w:r>
      <w:r w:rsidR="00334A00" w:rsidRPr="00A97679">
        <w:rPr>
          <w:rFonts w:ascii="Sylfaen" w:hAnsi="Sylfaen" w:cs="Sylfaen"/>
          <w:lang w:val="ka-GE"/>
        </w:rPr>
        <w:t>,</w:t>
      </w:r>
      <w:r w:rsidR="009D41D3" w:rsidRPr="00A97679">
        <w:rPr>
          <w:rFonts w:ascii="Sylfaen" w:hAnsi="Sylfaen" w:cs="Sylfaen"/>
          <w:lang w:val="ka-GE"/>
        </w:rPr>
        <w:t xml:space="preserve"> საშუალოვადიან პერიოდში მეტად შემზღუდველ ფისკალურ პოლიტიკას გულისხმობს. ამასთან გასათვალისწინებელია ის ფაქტიც</w:t>
      </w:r>
      <w:r w:rsidR="00334A00" w:rsidRPr="00A97679">
        <w:rPr>
          <w:rFonts w:ascii="Sylfaen" w:hAnsi="Sylfaen" w:cs="Sylfaen"/>
          <w:lang w:val="ka-GE"/>
        </w:rPr>
        <w:t>,</w:t>
      </w:r>
      <w:r w:rsidR="009D41D3" w:rsidRPr="00A97679">
        <w:rPr>
          <w:rFonts w:ascii="Sylfaen" w:hAnsi="Sylfaen" w:cs="Sylfaen"/>
          <w:lang w:val="ka-GE"/>
        </w:rPr>
        <w:t xml:space="preserve"> რომ 2022 წლიდან ძალაში შედის განათლების დაფინანსების ვალდებულება მშპ-ის 6%-ის ფარგლებში. აღნიშნული ტიპის ვალდებულებები, პოსტკრიზისული პერიოდის ისედაც შემჭიდროვებული ფისკალური ჩარჩოს ფარგლებში ეფექტური ფისკალური პოლიტიკის გატრებას მეტად ართულებს და შესაძლებელი</w:t>
      </w:r>
      <w:r w:rsidR="00776610" w:rsidRPr="00A97679">
        <w:rPr>
          <w:rFonts w:ascii="Sylfaen" w:hAnsi="Sylfaen" w:cs="Sylfaen"/>
          <w:lang w:val="ka-GE"/>
        </w:rPr>
        <w:t>ა</w:t>
      </w:r>
      <w:r w:rsidR="009D41D3" w:rsidRPr="00A97679">
        <w:rPr>
          <w:rFonts w:ascii="Sylfaen" w:hAnsi="Sylfaen" w:cs="Sylfaen"/>
          <w:lang w:val="ka-GE"/>
        </w:rPr>
        <w:t xml:space="preserve"> საჭირო გახდეს ამ ნორმის გადახედვა.</w:t>
      </w:r>
    </w:p>
    <w:p w:rsidR="007B6B22" w:rsidRDefault="007B6B22" w:rsidP="00D75C72">
      <w:pPr>
        <w:spacing w:line="276" w:lineRule="auto"/>
        <w:ind w:firstLine="720"/>
        <w:jc w:val="both"/>
        <w:rPr>
          <w:rFonts w:ascii="Sylfaen" w:hAnsi="Sylfaen" w:cs="Sylfaen"/>
          <w:lang w:val="ka-GE"/>
        </w:rPr>
      </w:pPr>
    </w:p>
    <w:p w:rsidR="007B6B22" w:rsidRDefault="007B6B22" w:rsidP="00D75C72">
      <w:pPr>
        <w:spacing w:line="276" w:lineRule="auto"/>
        <w:ind w:firstLine="720"/>
        <w:jc w:val="both"/>
        <w:rPr>
          <w:rFonts w:ascii="Sylfaen" w:hAnsi="Sylfaen" w:cs="Sylfaen"/>
          <w:lang w:val="ka-GE"/>
        </w:rPr>
      </w:pPr>
    </w:p>
    <w:p w:rsidR="000A29E6" w:rsidRPr="00C9780C" w:rsidRDefault="000A29E6" w:rsidP="00D75C72">
      <w:pPr>
        <w:spacing w:line="276" w:lineRule="auto"/>
        <w:ind w:firstLine="720"/>
        <w:jc w:val="both"/>
        <w:rPr>
          <w:rFonts w:ascii="Sylfaen" w:hAnsi="Sylfaen" w:cs="Sylfaen"/>
          <w:lang w:val="ka-GE"/>
        </w:rPr>
      </w:pPr>
    </w:p>
    <w:p w:rsidR="00B10324" w:rsidRPr="00C9780C" w:rsidRDefault="00B10324" w:rsidP="00AD738A">
      <w:pPr>
        <w:spacing w:line="276" w:lineRule="auto"/>
        <w:ind w:firstLine="720"/>
        <w:jc w:val="both"/>
        <w:rPr>
          <w:rFonts w:ascii="Sylfaen" w:hAnsi="Sylfaen" w:cs="Sylfaen"/>
          <w:lang w:val="ka-GE"/>
        </w:rPr>
      </w:pPr>
      <w:r w:rsidRPr="00C9780C">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sidR="000E416B">
        <w:rPr>
          <w:rFonts w:ascii="Sylfaen" w:hAnsi="Sylfaen" w:cs="Sylfaen"/>
          <w:bCs/>
          <w:noProof/>
          <w:sz w:val="20"/>
          <w:lang w:val="ka-GE"/>
        </w:rPr>
        <w:t>№10</w:t>
      </w:r>
      <w:r w:rsidRPr="00C9780C">
        <w:rPr>
          <w:rFonts w:ascii="Sylfaen" w:hAnsi="Sylfaen" w:cs="Sylfaen"/>
          <w:bCs/>
          <w:noProof/>
          <w:sz w:val="20"/>
          <w:lang w:val="ka-GE"/>
        </w:rPr>
        <w:t>.</w:t>
      </w:r>
    </w:p>
    <w:p w:rsidR="00A344A4" w:rsidRPr="00C9780C"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tbl>
      <w:tblPr>
        <w:tblW w:w="5458" w:type="pct"/>
        <w:tblInd w:w="-71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159"/>
        <w:gridCol w:w="691"/>
        <w:gridCol w:w="691"/>
        <w:gridCol w:w="691"/>
        <w:gridCol w:w="691"/>
        <w:gridCol w:w="691"/>
        <w:gridCol w:w="691"/>
        <w:gridCol w:w="760"/>
        <w:gridCol w:w="760"/>
        <w:gridCol w:w="760"/>
        <w:gridCol w:w="760"/>
        <w:gridCol w:w="760"/>
        <w:gridCol w:w="691"/>
      </w:tblGrid>
      <w:tr w:rsidR="00C75BD8" w:rsidRPr="00C9780C" w:rsidTr="000E416B">
        <w:trPr>
          <w:trHeight w:val="270"/>
          <w:tblHeader/>
        </w:trPr>
        <w:tc>
          <w:tcPr>
            <w:tcW w:w="1000" w:type="pct"/>
            <w:shd w:val="clear" w:color="auto" w:fill="auto"/>
            <w:noWrap/>
            <w:vAlign w:val="center"/>
            <w:hideMark/>
          </w:tcPr>
          <w:p w:rsidR="00C75BD8" w:rsidRPr="00C9780C" w:rsidRDefault="00C75BD8" w:rsidP="00C75BD8">
            <w:pPr>
              <w:spacing w:after="0" w:line="240" w:lineRule="auto"/>
              <w:rPr>
                <w:rFonts w:ascii="Sylfaen" w:eastAsia="Times New Roman" w:hAnsi="Sylfaen" w:cs="Arial"/>
                <w:sz w:val="14"/>
                <w:szCs w:val="16"/>
              </w:rPr>
            </w:pPr>
            <w:r w:rsidRPr="00C9780C">
              <w:rPr>
                <w:rFonts w:ascii="Sylfaen" w:eastAsia="Times New Roman" w:hAnsi="Sylfaen" w:cs="Arial"/>
                <w:sz w:val="14"/>
                <w:szCs w:val="16"/>
              </w:rPr>
              <w:t> </w:t>
            </w:r>
          </w:p>
        </w:tc>
        <w:tc>
          <w:tcPr>
            <w:tcW w:w="1918" w:type="pct"/>
            <w:gridSpan w:val="6"/>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6"/>
              </w:rPr>
            </w:pPr>
            <w:r w:rsidRPr="00C9780C">
              <w:rPr>
                <w:rFonts w:ascii="Sylfaen" w:eastAsia="Times New Roman" w:hAnsi="Sylfaen" w:cs="Arial"/>
                <w:b/>
                <w:bCs/>
                <w:sz w:val="14"/>
                <w:szCs w:val="16"/>
              </w:rPr>
              <w:t>ნაერთი ბიუჯეტი</w:t>
            </w:r>
          </w:p>
        </w:tc>
        <w:tc>
          <w:tcPr>
            <w:tcW w:w="2080" w:type="pct"/>
            <w:gridSpan w:val="6"/>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6"/>
              </w:rPr>
            </w:pPr>
            <w:r w:rsidRPr="00C9780C">
              <w:rPr>
                <w:rFonts w:ascii="Sylfaen" w:eastAsia="Times New Roman" w:hAnsi="Sylfaen" w:cs="Arial"/>
                <w:b/>
                <w:bCs/>
                <w:sz w:val="14"/>
                <w:szCs w:val="16"/>
              </w:rPr>
              <w:t>სახელმწიფო ერთიანი ბიუჯეტი</w:t>
            </w:r>
          </w:p>
        </w:tc>
      </w:tr>
      <w:tr w:rsidR="00C75BD8" w:rsidRPr="00C9780C" w:rsidTr="000E416B">
        <w:trPr>
          <w:trHeight w:val="270"/>
          <w:tblHeader/>
        </w:trPr>
        <w:tc>
          <w:tcPr>
            <w:tcW w:w="1000" w:type="pct"/>
            <w:shd w:val="clear" w:color="auto" w:fill="auto"/>
            <w:noWrap/>
            <w:vAlign w:val="center"/>
            <w:hideMark/>
          </w:tcPr>
          <w:p w:rsidR="00C75BD8" w:rsidRPr="00C9780C" w:rsidRDefault="00C75BD8" w:rsidP="00C75BD8">
            <w:pPr>
              <w:spacing w:after="0" w:line="240" w:lineRule="auto"/>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2024</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2025</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2022</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2024</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8"/>
              </w:rPr>
            </w:pPr>
            <w:r w:rsidRPr="00C9780C">
              <w:rPr>
                <w:rFonts w:ascii="Sylfaen" w:eastAsia="Times New Roman" w:hAnsi="Sylfaen" w:cs="Arial"/>
                <w:b/>
                <w:bCs/>
                <w:sz w:val="14"/>
                <w:szCs w:val="18"/>
              </w:rPr>
              <w:t>2025</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270"/>
        </w:trPr>
        <w:tc>
          <w:tcPr>
            <w:tcW w:w="1000" w:type="pct"/>
            <w:shd w:val="clear" w:color="auto" w:fill="auto"/>
            <w:vAlign w:val="center"/>
            <w:hideMark/>
          </w:tcPr>
          <w:p w:rsidR="00C75BD8" w:rsidRPr="00C9780C" w:rsidRDefault="00C75BD8" w:rsidP="00C75BD8">
            <w:pPr>
              <w:spacing w:after="0" w:line="240" w:lineRule="auto"/>
              <w:rPr>
                <w:rFonts w:ascii="Sylfaen" w:eastAsia="Times New Roman" w:hAnsi="Sylfaen" w:cs="Arial"/>
                <w:b/>
                <w:bCs/>
                <w:sz w:val="14"/>
                <w:szCs w:val="16"/>
              </w:rPr>
            </w:pPr>
            <w:r w:rsidRPr="00C9780C">
              <w:rPr>
                <w:rFonts w:ascii="Sylfaen" w:eastAsia="Times New Roman" w:hAnsi="Sylfaen" w:cs="Arial"/>
                <w:b/>
                <w:bCs/>
                <w:sz w:val="14"/>
                <w:szCs w:val="16"/>
              </w:rPr>
              <w:t>მთლიანი სალდო</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-1 257,0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-1 243,0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-1 398,0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-1 491,0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-1 333,00</w:t>
            </w:r>
          </w:p>
        </w:tc>
        <w:tc>
          <w:tcPr>
            <w:tcW w:w="352" w:type="pct"/>
            <w:shd w:val="clear" w:color="auto" w:fill="auto"/>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-1 324,00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-1 481,00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-1 577,00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-4 200,0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-3 991,0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-2 399,0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-1 813,0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-1 646,0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-4 188,70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-4 131,90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-2 342,60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-1 819,00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-1 649,00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-4 574,2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-3 980,0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-2 661,0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-1 958,0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-1 914,0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-1 914,0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-4 450,9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-3 971,1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-2 632,0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-1 952,0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-1 863,0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-1 858,0</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465"/>
        </w:trPr>
        <w:tc>
          <w:tcPr>
            <w:tcW w:w="1000" w:type="pct"/>
            <w:shd w:val="clear" w:color="auto" w:fill="auto"/>
            <w:vAlign w:val="center"/>
            <w:hideMark/>
          </w:tcPr>
          <w:p w:rsidR="00C75BD8" w:rsidRPr="000E416B" w:rsidRDefault="00C75BD8" w:rsidP="00C75BD8">
            <w:pPr>
              <w:spacing w:after="0" w:line="240" w:lineRule="auto"/>
              <w:rPr>
                <w:rFonts w:ascii="Sylfaen" w:eastAsia="Times New Roman" w:hAnsi="Sylfaen" w:cs="Arial"/>
                <w:b/>
                <w:bCs/>
                <w:sz w:val="14"/>
                <w:szCs w:val="16"/>
                <w:lang w:val="ka-GE"/>
              </w:rPr>
            </w:pPr>
            <w:r w:rsidRPr="00C9780C">
              <w:rPr>
                <w:rFonts w:ascii="Sylfaen" w:eastAsia="Times New Roman" w:hAnsi="Sylfaen" w:cs="Arial"/>
                <w:b/>
                <w:bCs/>
                <w:sz w:val="14"/>
                <w:szCs w:val="16"/>
              </w:rPr>
              <w:t>მოდიფიცირებული დეფიციტი (IMF პროგრამა</w:t>
            </w:r>
            <w:r w:rsidR="000E416B">
              <w:rPr>
                <w:rFonts w:ascii="Sylfaen" w:eastAsia="Times New Roman" w:hAnsi="Sylfaen" w:cs="Arial"/>
                <w:b/>
                <w:bCs/>
                <w:sz w:val="14"/>
                <w:szCs w:val="16"/>
                <w:lang w:val="ka-GE"/>
              </w:rPr>
              <w:t>)</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Calibri"/>
                <w:sz w:val="14"/>
              </w:rPr>
            </w:pPr>
            <w:r w:rsidRPr="00C9780C">
              <w:rPr>
                <w:rFonts w:ascii="Sylfaen" w:eastAsia="Times New Roman" w:hAnsi="Sylfaen" w:cs="Calibri"/>
                <w:sz w:val="14"/>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-1 319,0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-1 498,0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-1 668,0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-1 741,0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-1 396,00</w:t>
            </w:r>
          </w:p>
        </w:tc>
        <w:tc>
          <w:tcPr>
            <w:tcW w:w="352" w:type="pct"/>
            <w:shd w:val="clear" w:color="auto" w:fill="auto"/>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-1 579,00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-1 751,00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-1 827,00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-4 470,0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-4 082,0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-2 534,0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-1 948,0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-1 781,0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-1 781,0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-4 498,90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-4 228,80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-2 487,60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-1 964,00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-1 794,00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-4 595,9</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-3 925,0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-2 796,0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-2 093,0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-2 049,0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-2 049,0</w:t>
            </w:r>
          </w:p>
        </w:tc>
        <w:tc>
          <w:tcPr>
            <w:tcW w:w="352" w:type="pct"/>
            <w:shd w:val="clear" w:color="auto" w:fill="auto"/>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-4 520,3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-3 922,1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-2 792,0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-2 112,0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-2 023,0</w:t>
            </w:r>
          </w:p>
        </w:tc>
        <w:tc>
          <w:tcPr>
            <w:tcW w:w="320" w:type="pct"/>
            <w:shd w:val="clear" w:color="000000" w:fill="FDE9D9"/>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-2 018,0</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b/>
                <w:bCs/>
                <w:sz w:val="14"/>
                <w:szCs w:val="16"/>
              </w:rPr>
            </w:pPr>
            <w:r w:rsidRPr="00C9780C">
              <w:rPr>
                <w:rFonts w:ascii="Sylfaen" w:eastAsia="Times New Roman" w:hAnsi="Sylfaen" w:cs="Arial"/>
                <w:b/>
                <w:bCs/>
                <w:sz w:val="14"/>
                <w:szCs w:val="16"/>
              </w:rPr>
              <w:t>% მშპ-თან</w:t>
            </w:r>
          </w:p>
        </w:tc>
      </w:tr>
      <w:tr w:rsidR="00C75BD8" w:rsidRPr="00C9780C" w:rsidTr="000E416B">
        <w:trPr>
          <w:trHeight w:val="270"/>
        </w:trPr>
        <w:tc>
          <w:tcPr>
            <w:tcW w:w="1000" w:type="pct"/>
            <w:shd w:val="clear" w:color="auto" w:fill="auto"/>
            <w:vAlign w:val="center"/>
            <w:hideMark/>
          </w:tcPr>
          <w:p w:rsidR="00C75BD8" w:rsidRPr="00C9780C" w:rsidRDefault="00C75BD8" w:rsidP="00C75BD8">
            <w:pPr>
              <w:spacing w:after="0" w:line="240" w:lineRule="auto"/>
              <w:rPr>
                <w:rFonts w:ascii="Sylfaen" w:eastAsia="Times New Roman" w:hAnsi="Sylfaen" w:cs="Arial"/>
                <w:b/>
                <w:bCs/>
                <w:sz w:val="14"/>
                <w:szCs w:val="16"/>
              </w:rPr>
            </w:pPr>
            <w:r w:rsidRPr="00C9780C">
              <w:rPr>
                <w:rFonts w:ascii="Sylfaen" w:eastAsia="Times New Roman" w:hAnsi="Sylfaen" w:cs="Arial"/>
                <w:b/>
                <w:bCs/>
                <w:sz w:val="14"/>
                <w:szCs w:val="16"/>
              </w:rPr>
              <w:t>მთლიანი სალდო</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-2,4%</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-2,4%</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-8,5%</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-7,5%</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-2,9%</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-2,4%</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0,0%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-8,5%</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-7,7%</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-2,4%</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-4,2%</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-2,8%</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-6,9%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-2,8%</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-2,3%</w:t>
            </w:r>
          </w:p>
        </w:tc>
      </w:tr>
      <w:tr w:rsidR="00C75BD8" w:rsidRPr="00C9780C" w:rsidTr="000E416B">
        <w:trPr>
          <w:trHeight w:val="270"/>
        </w:trPr>
        <w:tc>
          <w:tcPr>
            <w:tcW w:w="5000" w:type="pct"/>
            <w:gridSpan w:val="13"/>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465"/>
        </w:trPr>
        <w:tc>
          <w:tcPr>
            <w:tcW w:w="1000" w:type="pct"/>
            <w:shd w:val="clear" w:color="auto" w:fill="auto"/>
            <w:vAlign w:val="center"/>
            <w:hideMark/>
          </w:tcPr>
          <w:p w:rsidR="00C75BD8" w:rsidRPr="00A97679" w:rsidRDefault="00C75BD8" w:rsidP="00C75BD8">
            <w:pPr>
              <w:spacing w:after="0" w:line="240" w:lineRule="auto"/>
              <w:rPr>
                <w:rFonts w:ascii="Sylfaen" w:eastAsia="Times New Roman" w:hAnsi="Sylfaen" w:cs="Arial"/>
                <w:b/>
                <w:bCs/>
                <w:sz w:val="14"/>
                <w:szCs w:val="16"/>
              </w:rPr>
            </w:pPr>
            <w:r w:rsidRPr="00C9780C">
              <w:rPr>
                <w:rFonts w:ascii="Sylfaen" w:eastAsia="Times New Roman" w:hAnsi="Sylfaen" w:cs="Arial"/>
                <w:b/>
                <w:bCs/>
                <w:sz w:val="14"/>
                <w:szCs w:val="16"/>
              </w:rPr>
              <w:t>მოდიფიცირებული დეფიციტი (IMF პროგრამა</w:t>
            </w:r>
            <w:r w:rsidR="00A97679">
              <w:rPr>
                <w:rFonts w:ascii="Sylfaen" w:eastAsia="Times New Roman" w:hAnsi="Sylfaen" w:cs="Arial"/>
                <w:b/>
                <w:bCs/>
                <w:sz w:val="14"/>
                <w:szCs w:val="16"/>
                <w:lang w:val="ka-GE"/>
              </w:rPr>
              <w:t>)</w:t>
            </w:r>
          </w:p>
        </w:tc>
        <w:tc>
          <w:tcPr>
            <w:tcW w:w="3997" w:type="pct"/>
            <w:gridSpan w:val="12"/>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2020-2023 პროგნოზი (2019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-2,5%</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-2,6%</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-2,7%</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-2,6%</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-2,8%</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-2,8%</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-2,7%</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6"/>
              </w:rPr>
            </w:pPr>
            <w:r w:rsidRPr="00C9780C">
              <w:rPr>
                <w:rFonts w:ascii="Sylfaen" w:eastAsia="Times New Roman" w:hAnsi="Sylfaen" w:cs="Arial"/>
                <w:sz w:val="14"/>
                <w:szCs w:val="16"/>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2021-2024 პროგნოზი (2020 წლის დეკემბერი)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-7,6%</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-4,4%</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-3,1%</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-2,6%</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-2,6%</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-7,9%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-4,3%</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-2,6%</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 </w:t>
            </w:r>
          </w:p>
        </w:tc>
      </w:tr>
      <w:tr w:rsidR="00C75BD8" w:rsidRPr="00C9780C" w:rsidTr="000E416B">
        <w:trPr>
          <w:trHeight w:val="525"/>
        </w:trPr>
        <w:tc>
          <w:tcPr>
            <w:tcW w:w="1000" w:type="pct"/>
            <w:shd w:val="clear" w:color="auto" w:fill="auto"/>
            <w:vAlign w:val="center"/>
            <w:hideMark/>
          </w:tcPr>
          <w:p w:rsidR="00C75BD8" w:rsidRPr="00C9780C" w:rsidRDefault="00C75BD8" w:rsidP="00C75BD8">
            <w:pPr>
              <w:spacing w:after="0" w:line="240" w:lineRule="auto"/>
              <w:ind w:firstLineChars="100" w:firstLine="140"/>
              <w:rPr>
                <w:rFonts w:ascii="Sylfaen" w:eastAsia="Times New Roman" w:hAnsi="Sylfaen" w:cs="Arial"/>
                <w:sz w:val="14"/>
                <w:szCs w:val="18"/>
              </w:rPr>
            </w:pPr>
            <w:r w:rsidRPr="00C9780C">
              <w:rPr>
                <w:rFonts w:ascii="Sylfaen" w:eastAsia="Times New Roman" w:hAnsi="Sylfaen" w:cs="Arial"/>
                <w:sz w:val="14"/>
                <w:szCs w:val="18"/>
              </w:rPr>
              <w:t>2022-2025 პროგნოზი (2021 წლის ივლისი)</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-9,3%</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-6,9%</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-4,4%</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-3,0%</w:t>
            </w:r>
          </w:p>
        </w:tc>
        <w:tc>
          <w:tcPr>
            <w:tcW w:w="320"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-2,7%</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-9,1%</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-6,9%</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-4,4%</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-3,0%</w:t>
            </w:r>
          </w:p>
        </w:tc>
        <w:tc>
          <w:tcPr>
            <w:tcW w:w="352" w:type="pct"/>
            <w:shd w:val="clear" w:color="auto" w:fill="auto"/>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-2,7%</w:t>
            </w:r>
          </w:p>
        </w:tc>
        <w:tc>
          <w:tcPr>
            <w:tcW w:w="320" w:type="pct"/>
            <w:shd w:val="clear" w:color="000000" w:fill="FCE4D6"/>
            <w:noWrap/>
            <w:vAlign w:val="center"/>
            <w:hideMark/>
          </w:tcPr>
          <w:p w:rsidR="00C75BD8" w:rsidRPr="00C9780C" w:rsidRDefault="00C75BD8" w:rsidP="00C75BD8">
            <w:pPr>
              <w:spacing w:after="0" w:line="240" w:lineRule="auto"/>
              <w:jc w:val="center"/>
              <w:rPr>
                <w:rFonts w:ascii="Sylfaen" w:eastAsia="Times New Roman" w:hAnsi="Sylfaen" w:cs="Arial"/>
                <w:sz w:val="14"/>
                <w:szCs w:val="18"/>
              </w:rPr>
            </w:pPr>
            <w:r w:rsidRPr="00C9780C">
              <w:rPr>
                <w:rFonts w:ascii="Sylfaen" w:eastAsia="Times New Roman" w:hAnsi="Sylfaen" w:cs="Arial"/>
                <w:sz w:val="14"/>
                <w:szCs w:val="18"/>
              </w:rPr>
              <w:t>-2,5%</w:t>
            </w:r>
          </w:p>
        </w:tc>
      </w:tr>
    </w:tbl>
    <w:p w:rsidR="00044987" w:rsidRPr="00C9780C" w:rsidRDefault="00044987" w:rsidP="00AD738A">
      <w:pPr>
        <w:spacing w:line="276" w:lineRule="auto"/>
        <w:ind w:firstLine="720"/>
        <w:jc w:val="both"/>
        <w:rPr>
          <w:rFonts w:ascii="Sylfaen" w:hAnsi="Sylfaen" w:cs="Sylfaen"/>
          <w:lang w:val="ka-GE"/>
        </w:rPr>
      </w:pPr>
    </w:p>
    <w:p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rsidR="00335BCF" w:rsidRPr="003A2E8C" w:rsidRDefault="003A2E8C" w:rsidP="003A2E8C">
      <w:pPr>
        <w:rPr>
          <w:rFonts w:ascii="Sylfaen" w:hAnsi="Sylfaen"/>
          <w:b/>
          <w:i/>
          <w:sz w:val="18"/>
          <w:u w:val="single"/>
        </w:rPr>
      </w:pPr>
      <w:r>
        <w:rPr>
          <w:rFonts w:ascii="Sylfaen" w:hAnsi="Sylfaen"/>
          <w:b/>
          <w:i/>
          <w:sz w:val="18"/>
          <w:u w:val="single"/>
        </w:rPr>
        <w:br w:type="page"/>
      </w:r>
    </w:p>
    <w:p w:rsidR="00E62DDE" w:rsidRPr="006974FB" w:rsidRDefault="00E62DDE" w:rsidP="00E62DDE">
      <w:pPr>
        <w:pStyle w:val="Heading1"/>
        <w:numPr>
          <w:ilvl w:val="0"/>
          <w:numId w:val="1"/>
        </w:numPr>
        <w:spacing w:line="276" w:lineRule="auto"/>
        <w:rPr>
          <w:rFonts w:ascii="Sylfaen" w:hAnsi="Sylfaen"/>
          <w:b/>
          <w:sz w:val="28"/>
          <w:lang w:val="ka-GE"/>
        </w:rPr>
      </w:pPr>
      <w:bookmarkStart w:id="4" w:name="_Toc76394891"/>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4"/>
    </w:p>
    <w:p w:rsidR="00E62DDE" w:rsidRDefault="00E62DDE" w:rsidP="00E62DDE">
      <w:pPr>
        <w:spacing w:line="276" w:lineRule="auto"/>
        <w:rPr>
          <w:rFonts w:ascii="Sylfaen" w:hAnsi="Sylfaen"/>
          <w:lang w:val="ka-GE"/>
        </w:rPr>
      </w:pPr>
    </w:p>
    <w:tbl>
      <w:tblPr>
        <w:tblW w:w="5123" w:type="pct"/>
        <w:tblLayout w:type="fixed"/>
        <w:tblLook w:val="04A0" w:firstRow="1" w:lastRow="0" w:firstColumn="1" w:lastColumn="0" w:noHBand="0" w:noVBand="1"/>
      </w:tblPr>
      <w:tblGrid>
        <w:gridCol w:w="2230"/>
        <w:gridCol w:w="1459"/>
        <w:gridCol w:w="1459"/>
        <w:gridCol w:w="1459"/>
        <w:gridCol w:w="1165"/>
        <w:gridCol w:w="1182"/>
        <w:gridCol w:w="1179"/>
      </w:tblGrid>
      <w:tr w:rsidR="00E62DDE" w:rsidRPr="00393C5E" w:rsidTr="00021E8F">
        <w:trPr>
          <w:trHeight w:val="281"/>
        </w:trPr>
        <w:tc>
          <w:tcPr>
            <w:tcW w:w="11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b/>
                <w:bCs/>
                <w:color w:val="000000"/>
                <w:sz w:val="20"/>
                <w:szCs w:val="20"/>
                <w:lang w:val="ka-GE"/>
              </w:rPr>
            </w:pPr>
            <w:r w:rsidRPr="00393C5E">
              <w:rPr>
                <w:rFonts w:ascii="Sylfaen" w:eastAsia="Times New Roman" w:hAnsi="Sylfaen" w:cs="Sylfaen"/>
                <w:b/>
                <w:bCs/>
                <w:color w:val="000000"/>
                <w:sz w:val="20"/>
                <w:szCs w:val="20"/>
              </w:rPr>
              <w:t>მთავრობის</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ვალი</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მლნ</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ლარი</w:t>
            </w:r>
            <w:r w:rsidRPr="00393C5E">
              <w:rPr>
                <w:rFonts w:ascii="Arial" w:eastAsia="Times New Roman" w:hAnsi="Arial" w:cs="Arial"/>
                <w:b/>
                <w:bCs/>
                <w:color w:val="000000"/>
                <w:sz w:val="20"/>
                <w:szCs w:val="20"/>
              </w:rPr>
              <w:t>)</w:t>
            </w:r>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021E8F">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2020 </w:t>
            </w:r>
            <w:r w:rsidRPr="00393C5E">
              <w:rPr>
                <w:rFonts w:ascii="Sylfaen" w:eastAsia="Times New Roman" w:hAnsi="Sylfaen" w:cs="Sylfaen"/>
                <w:b/>
                <w:bCs/>
                <w:color w:val="000000"/>
                <w:sz w:val="20"/>
                <w:szCs w:val="20"/>
              </w:rPr>
              <w:t>წელი</w:t>
            </w:r>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021E8F">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2021 </w:t>
            </w:r>
            <w:r w:rsidRPr="00393C5E">
              <w:rPr>
                <w:rFonts w:ascii="Sylfaen" w:eastAsia="Times New Roman" w:hAnsi="Sylfaen" w:cs="Sylfaen"/>
                <w:b/>
                <w:bCs/>
                <w:color w:val="000000"/>
                <w:sz w:val="20"/>
                <w:szCs w:val="20"/>
              </w:rPr>
              <w:t>წელი</w:t>
            </w:r>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021E8F">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2022 </w:t>
            </w:r>
            <w:r w:rsidRPr="00393C5E">
              <w:rPr>
                <w:rFonts w:ascii="Sylfaen" w:eastAsia="Times New Roman" w:hAnsi="Sylfaen" w:cs="Sylfaen"/>
                <w:b/>
                <w:bCs/>
                <w:color w:val="000000"/>
                <w:sz w:val="20"/>
                <w:szCs w:val="20"/>
              </w:rPr>
              <w:t>წელი</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021E8F">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2023 </w:t>
            </w:r>
            <w:r w:rsidRPr="00393C5E">
              <w:rPr>
                <w:rFonts w:ascii="Sylfaen" w:eastAsia="Times New Roman" w:hAnsi="Sylfaen" w:cs="Sylfaen"/>
                <w:b/>
                <w:bCs/>
                <w:color w:val="000000"/>
                <w:sz w:val="20"/>
                <w:szCs w:val="20"/>
              </w:rPr>
              <w:t>წელი</w:t>
            </w:r>
          </w:p>
        </w:tc>
        <w:tc>
          <w:tcPr>
            <w:tcW w:w="583" w:type="pct"/>
            <w:tcBorders>
              <w:top w:val="single" w:sz="4" w:space="0" w:color="auto"/>
              <w:left w:val="nil"/>
              <w:bottom w:val="single" w:sz="4" w:space="0" w:color="auto"/>
              <w:right w:val="single" w:sz="4" w:space="0" w:color="auto"/>
            </w:tcBorders>
            <w:shd w:val="clear" w:color="000000" w:fill="FFFFFF"/>
            <w:noWrap/>
            <w:vAlign w:val="center"/>
            <w:hideMark/>
          </w:tcPr>
          <w:p w:rsidR="00E62DDE" w:rsidRPr="00393C5E" w:rsidRDefault="00E62DDE" w:rsidP="00021E8F">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2024 </w:t>
            </w:r>
            <w:r w:rsidRPr="00393C5E">
              <w:rPr>
                <w:rFonts w:ascii="Sylfaen" w:eastAsia="Times New Roman" w:hAnsi="Sylfaen" w:cs="Sylfaen"/>
                <w:b/>
                <w:bCs/>
                <w:color w:val="000000"/>
                <w:sz w:val="20"/>
                <w:szCs w:val="20"/>
              </w:rPr>
              <w:t>წელი</w:t>
            </w:r>
          </w:p>
        </w:tc>
        <w:tc>
          <w:tcPr>
            <w:tcW w:w="582" w:type="pct"/>
            <w:tcBorders>
              <w:top w:val="single" w:sz="4" w:space="0" w:color="auto"/>
              <w:left w:val="nil"/>
              <w:bottom w:val="single" w:sz="4" w:space="0" w:color="auto"/>
              <w:right w:val="single" w:sz="4" w:space="0" w:color="auto"/>
            </w:tcBorders>
            <w:shd w:val="clear" w:color="000000" w:fill="FFFFFF"/>
          </w:tcPr>
          <w:p w:rsidR="00E62DDE" w:rsidRPr="00393C5E" w:rsidRDefault="00E62DDE" w:rsidP="00021E8F">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202</w:t>
            </w:r>
            <w:r>
              <w:rPr>
                <w:rFonts w:eastAsia="Times New Roman" w:cs="Arial"/>
                <w:b/>
                <w:bCs/>
                <w:color w:val="000000"/>
                <w:sz w:val="20"/>
                <w:szCs w:val="20"/>
                <w:lang w:val="ka-GE"/>
              </w:rPr>
              <w:t>5</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წელი</w:t>
            </w:r>
          </w:p>
        </w:tc>
      </w:tr>
      <w:tr w:rsidR="00E62DDE" w:rsidRPr="00393C5E" w:rsidTr="00021E8F">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xml:space="preserve">2020-2023 </w:t>
            </w:r>
            <w:r w:rsidRPr="00393C5E">
              <w:rPr>
                <w:rFonts w:ascii="Sylfaen" w:eastAsia="Times New Roman" w:hAnsi="Sylfaen" w:cs="Sylfaen"/>
                <w:color w:val="000000"/>
                <w:sz w:val="20"/>
                <w:szCs w:val="20"/>
                <w:lang w:val="ka-GE"/>
              </w:rPr>
              <w:t>წლები</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22,579.0</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24,274.0</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26,225.0</w:t>
            </w:r>
          </w:p>
        </w:tc>
        <w:tc>
          <w:tcPr>
            <w:tcW w:w="575"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28,315.0</w:t>
            </w:r>
          </w:p>
        </w:tc>
        <w:tc>
          <w:tcPr>
            <w:tcW w:w="583"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 </w:t>
            </w:r>
          </w:p>
        </w:tc>
        <w:tc>
          <w:tcPr>
            <w:tcW w:w="582" w:type="pct"/>
            <w:tcBorders>
              <w:top w:val="nil"/>
              <w:left w:val="nil"/>
              <w:bottom w:val="single" w:sz="4" w:space="0" w:color="auto"/>
              <w:right w:val="single" w:sz="4" w:space="0" w:color="auto"/>
            </w:tcBorders>
          </w:tcPr>
          <w:p w:rsidR="00E62DDE" w:rsidRPr="00393C5E" w:rsidRDefault="00E62DDE" w:rsidP="00021E8F">
            <w:pPr>
              <w:spacing w:after="0" w:line="276" w:lineRule="auto"/>
              <w:jc w:val="center"/>
              <w:rPr>
                <w:rFonts w:ascii="Arial" w:eastAsia="Times New Roman" w:hAnsi="Arial" w:cs="Arial"/>
                <w:color w:val="000000"/>
                <w:sz w:val="20"/>
                <w:szCs w:val="20"/>
              </w:rPr>
            </w:pPr>
          </w:p>
        </w:tc>
      </w:tr>
      <w:tr w:rsidR="00E62DDE" w:rsidRPr="00393C5E" w:rsidTr="00021E8F">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42.5</w:t>
            </w:r>
            <w:r w:rsidRPr="00393C5E">
              <w:rPr>
                <w:rFonts w:ascii="Arial" w:eastAsia="Times New Roman" w:hAnsi="Arial" w:cs="Arial"/>
                <w:color w:val="000000"/>
                <w:sz w:val="20"/>
                <w:szCs w:val="20"/>
              </w:rPr>
              <w:t>%</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42.3</w:t>
            </w:r>
            <w:r w:rsidRPr="00393C5E">
              <w:rPr>
                <w:rFonts w:ascii="Arial" w:eastAsia="Times New Roman" w:hAnsi="Arial" w:cs="Arial"/>
                <w:color w:val="000000"/>
                <w:sz w:val="20"/>
                <w:szCs w:val="20"/>
              </w:rPr>
              <w:t>%</w:t>
            </w:r>
          </w:p>
        </w:tc>
        <w:tc>
          <w:tcPr>
            <w:tcW w:w="720" w:type="pct"/>
            <w:tcBorders>
              <w:top w:val="nil"/>
              <w:left w:val="nil"/>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42.2</w:t>
            </w:r>
            <w:r w:rsidRPr="00393C5E">
              <w:rPr>
                <w:rFonts w:ascii="Arial" w:eastAsia="Times New Roman" w:hAnsi="Arial" w:cs="Arial"/>
                <w:color w:val="000000"/>
                <w:sz w:val="20"/>
                <w:szCs w:val="20"/>
              </w:rPr>
              <w:t>%</w:t>
            </w:r>
          </w:p>
        </w:tc>
        <w:tc>
          <w:tcPr>
            <w:tcW w:w="575"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w:t>
            </w:r>
            <w:r w:rsidRPr="00393C5E">
              <w:rPr>
                <w:rFonts w:ascii="Arial" w:eastAsia="Times New Roman" w:hAnsi="Arial" w:cs="Arial"/>
                <w:color w:val="000000"/>
                <w:sz w:val="20"/>
                <w:szCs w:val="20"/>
              </w:rPr>
              <w:t>.0%</w:t>
            </w:r>
          </w:p>
        </w:tc>
        <w:tc>
          <w:tcPr>
            <w:tcW w:w="583" w:type="pct"/>
            <w:tcBorders>
              <w:top w:val="nil"/>
              <w:left w:val="nil"/>
              <w:bottom w:val="single" w:sz="4" w:space="0" w:color="auto"/>
              <w:right w:val="single" w:sz="4" w:space="0" w:color="auto"/>
            </w:tcBorders>
            <w:shd w:val="clear" w:color="auto" w:fill="auto"/>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w:t>
            </w:r>
          </w:p>
        </w:tc>
        <w:tc>
          <w:tcPr>
            <w:tcW w:w="582" w:type="pct"/>
            <w:tcBorders>
              <w:top w:val="nil"/>
              <w:left w:val="nil"/>
              <w:bottom w:val="single" w:sz="4" w:space="0" w:color="auto"/>
              <w:right w:val="single" w:sz="4" w:space="0" w:color="auto"/>
            </w:tcBorders>
          </w:tcPr>
          <w:p w:rsidR="00E62DDE" w:rsidRPr="00393C5E" w:rsidRDefault="00E62DDE" w:rsidP="00021E8F">
            <w:pPr>
              <w:spacing w:after="0" w:line="276" w:lineRule="auto"/>
              <w:jc w:val="center"/>
              <w:rPr>
                <w:rFonts w:ascii="Arial" w:eastAsia="Times New Roman" w:hAnsi="Arial" w:cs="Arial"/>
                <w:color w:val="000000"/>
                <w:sz w:val="20"/>
                <w:szCs w:val="20"/>
                <w:lang w:val="ka-GE"/>
              </w:rPr>
            </w:pPr>
          </w:p>
        </w:tc>
      </w:tr>
      <w:tr w:rsidR="00E62DDE" w:rsidRPr="00393C5E" w:rsidTr="00021E8F">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lang w:val="ka-GE"/>
              </w:rPr>
              <w:t xml:space="preserve">2021-2024 </w:t>
            </w:r>
            <w:r w:rsidRPr="00A03137">
              <w:rPr>
                <w:rFonts w:ascii="Sylfaen" w:eastAsia="Times New Roman" w:hAnsi="Sylfaen" w:cs="Sylfaen"/>
                <w:color w:val="000000"/>
                <w:sz w:val="20"/>
                <w:szCs w:val="20"/>
                <w:lang w:val="ka-GE"/>
              </w:rPr>
              <w:t>წლები</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021E8F">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29,569 </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021E8F">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32,111 </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021E8F">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34,119 </w:t>
            </w:r>
          </w:p>
        </w:tc>
        <w:tc>
          <w:tcPr>
            <w:tcW w:w="575" w:type="pct"/>
            <w:tcBorders>
              <w:top w:val="nil"/>
              <w:left w:val="nil"/>
              <w:bottom w:val="single" w:sz="4" w:space="0" w:color="auto"/>
              <w:right w:val="single" w:sz="4" w:space="0" w:color="auto"/>
            </w:tcBorders>
            <w:shd w:val="clear" w:color="auto" w:fill="auto"/>
            <w:hideMark/>
          </w:tcPr>
          <w:p w:rsidR="00E62DDE" w:rsidRPr="00A03137" w:rsidRDefault="00E62DDE" w:rsidP="00021E8F">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36,608 </w:t>
            </w:r>
          </w:p>
        </w:tc>
        <w:tc>
          <w:tcPr>
            <w:tcW w:w="583" w:type="pct"/>
            <w:tcBorders>
              <w:top w:val="nil"/>
              <w:left w:val="nil"/>
              <w:bottom w:val="single" w:sz="4" w:space="0" w:color="auto"/>
              <w:right w:val="single" w:sz="4" w:space="0" w:color="auto"/>
            </w:tcBorders>
            <w:shd w:val="clear" w:color="auto" w:fill="auto"/>
            <w:hideMark/>
          </w:tcPr>
          <w:p w:rsidR="00E62DDE" w:rsidRPr="00A03137" w:rsidRDefault="00E62DDE" w:rsidP="00021E8F">
            <w:pPr>
              <w:spacing w:after="0" w:line="276" w:lineRule="auto"/>
              <w:jc w:val="center"/>
              <w:rPr>
                <w:rFonts w:ascii="Arial" w:eastAsia="Times New Roman" w:hAnsi="Arial" w:cs="Arial"/>
                <w:color w:val="000000"/>
                <w:sz w:val="20"/>
                <w:szCs w:val="20"/>
              </w:rPr>
            </w:pPr>
            <w:r w:rsidRPr="00A03137">
              <w:rPr>
                <w:rFonts w:ascii="Arial" w:eastAsia="Times New Roman" w:hAnsi="Arial" w:cs="Arial"/>
                <w:color w:val="000000"/>
                <w:sz w:val="20"/>
                <w:szCs w:val="20"/>
              </w:rPr>
              <w:t xml:space="preserve"> 39,504 </w:t>
            </w:r>
          </w:p>
        </w:tc>
        <w:tc>
          <w:tcPr>
            <w:tcW w:w="582" w:type="pct"/>
            <w:tcBorders>
              <w:top w:val="nil"/>
              <w:left w:val="nil"/>
              <w:bottom w:val="single" w:sz="4" w:space="0" w:color="auto"/>
              <w:right w:val="single" w:sz="4" w:space="0" w:color="auto"/>
            </w:tcBorders>
          </w:tcPr>
          <w:p w:rsidR="00E62DDE" w:rsidRPr="00393C5E" w:rsidRDefault="00E62DDE" w:rsidP="00021E8F">
            <w:pPr>
              <w:spacing w:after="0" w:line="276" w:lineRule="auto"/>
              <w:jc w:val="center"/>
              <w:rPr>
                <w:rFonts w:ascii="Arial" w:hAnsi="Arial" w:cs="Arial"/>
                <w:sz w:val="20"/>
                <w:szCs w:val="20"/>
              </w:rPr>
            </w:pPr>
          </w:p>
        </w:tc>
      </w:tr>
      <w:tr w:rsidR="00E62DDE" w:rsidRPr="00393C5E" w:rsidTr="00021E8F">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021E8F">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59.9%</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021E8F">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60.1%</w:t>
            </w:r>
          </w:p>
        </w:tc>
        <w:tc>
          <w:tcPr>
            <w:tcW w:w="720" w:type="pct"/>
            <w:tcBorders>
              <w:top w:val="nil"/>
              <w:left w:val="nil"/>
              <w:bottom w:val="single" w:sz="4" w:space="0" w:color="auto"/>
              <w:right w:val="single" w:sz="4" w:space="0" w:color="auto"/>
            </w:tcBorders>
            <w:shd w:val="clear" w:color="auto" w:fill="auto"/>
            <w:noWrap/>
            <w:hideMark/>
          </w:tcPr>
          <w:p w:rsidR="00E62DDE" w:rsidRPr="00A03137" w:rsidRDefault="00E62DDE" w:rsidP="00021E8F">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58.6%</w:t>
            </w:r>
          </w:p>
        </w:tc>
        <w:tc>
          <w:tcPr>
            <w:tcW w:w="575" w:type="pct"/>
            <w:tcBorders>
              <w:top w:val="nil"/>
              <w:left w:val="nil"/>
              <w:bottom w:val="single" w:sz="4" w:space="0" w:color="auto"/>
              <w:right w:val="single" w:sz="4" w:space="0" w:color="auto"/>
            </w:tcBorders>
            <w:shd w:val="clear" w:color="auto" w:fill="auto"/>
            <w:hideMark/>
          </w:tcPr>
          <w:p w:rsidR="00E62DDE" w:rsidRPr="00A03137" w:rsidRDefault="00E62DDE" w:rsidP="00021E8F">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57.8%</w:t>
            </w:r>
          </w:p>
        </w:tc>
        <w:tc>
          <w:tcPr>
            <w:tcW w:w="583" w:type="pct"/>
            <w:tcBorders>
              <w:top w:val="nil"/>
              <w:left w:val="nil"/>
              <w:bottom w:val="single" w:sz="4" w:space="0" w:color="auto"/>
              <w:right w:val="single" w:sz="4" w:space="0" w:color="auto"/>
            </w:tcBorders>
            <w:shd w:val="clear" w:color="auto" w:fill="auto"/>
            <w:hideMark/>
          </w:tcPr>
          <w:p w:rsidR="00E62DDE" w:rsidRPr="00A03137" w:rsidRDefault="00E62DDE" w:rsidP="00021E8F">
            <w:pPr>
              <w:spacing w:after="0" w:line="276" w:lineRule="auto"/>
              <w:jc w:val="center"/>
              <w:rPr>
                <w:rFonts w:ascii="Arial" w:eastAsia="Times New Roman" w:hAnsi="Arial" w:cs="Arial"/>
                <w:color w:val="000000"/>
                <w:sz w:val="20"/>
                <w:szCs w:val="20"/>
                <w:lang w:val="ka-GE"/>
              </w:rPr>
            </w:pPr>
            <w:r w:rsidRPr="00A03137">
              <w:rPr>
                <w:rFonts w:ascii="Arial" w:eastAsia="Times New Roman" w:hAnsi="Arial" w:cs="Arial"/>
                <w:color w:val="000000"/>
                <w:sz w:val="20"/>
                <w:szCs w:val="20"/>
                <w:lang w:val="ka-GE"/>
              </w:rPr>
              <w:t>57.6%</w:t>
            </w:r>
          </w:p>
        </w:tc>
        <w:tc>
          <w:tcPr>
            <w:tcW w:w="582" w:type="pct"/>
            <w:tcBorders>
              <w:top w:val="nil"/>
              <w:left w:val="nil"/>
              <w:bottom w:val="single" w:sz="4" w:space="0" w:color="auto"/>
              <w:right w:val="single" w:sz="4" w:space="0" w:color="auto"/>
            </w:tcBorders>
          </w:tcPr>
          <w:p w:rsidR="00E62DDE" w:rsidRPr="00A03137" w:rsidRDefault="00E62DDE" w:rsidP="00021E8F">
            <w:pPr>
              <w:spacing w:after="0" w:line="276" w:lineRule="auto"/>
              <w:jc w:val="center"/>
              <w:rPr>
                <w:rFonts w:ascii="Arial" w:eastAsia="Times New Roman" w:hAnsi="Arial" w:cs="Arial"/>
                <w:color w:val="000000"/>
                <w:sz w:val="20"/>
                <w:szCs w:val="20"/>
                <w:lang w:val="ka-GE"/>
              </w:rPr>
            </w:pPr>
          </w:p>
        </w:tc>
      </w:tr>
      <w:tr w:rsidR="00E62DDE" w:rsidRPr="00393C5E" w:rsidTr="00021E8F">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D180F">
              <w:rPr>
                <w:rFonts w:ascii="Arial" w:eastAsia="Times New Roman" w:hAnsi="Arial" w:cs="Arial"/>
                <w:color w:val="000000"/>
                <w:sz w:val="20"/>
                <w:szCs w:val="20"/>
              </w:rPr>
              <w:t>202</w:t>
            </w:r>
            <w:r w:rsidRPr="00A91867">
              <w:rPr>
                <w:rFonts w:ascii="Arial" w:eastAsia="Times New Roman" w:hAnsi="Arial" w:cs="Arial"/>
                <w:color w:val="000000"/>
                <w:sz w:val="20"/>
                <w:szCs w:val="20"/>
              </w:rPr>
              <w:t>2</w:t>
            </w:r>
            <w:r w:rsidRPr="003D180F">
              <w:rPr>
                <w:rFonts w:ascii="Arial" w:eastAsia="Times New Roman" w:hAnsi="Arial" w:cs="Arial"/>
                <w:color w:val="000000"/>
                <w:sz w:val="20"/>
                <w:szCs w:val="20"/>
              </w:rPr>
              <w:t>-202</w:t>
            </w:r>
            <w:r w:rsidRPr="00A91867">
              <w:rPr>
                <w:rFonts w:ascii="Arial" w:eastAsia="Times New Roman" w:hAnsi="Arial" w:cs="Arial"/>
                <w:color w:val="000000"/>
                <w:sz w:val="20"/>
                <w:szCs w:val="20"/>
              </w:rPr>
              <w:t>5</w:t>
            </w:r>
            <w:r w:rsidRPr="003D180F">
              <w:rPr>
                <w:rFonts w:ascii="Arial" w:eastAsia="Times New Roman" w:hAnsi="Arial" w:cs="Arial"/>
                <w:color w:val="000000"/>
                <w:sz w:val="20"/>
                <w:szCs w:val="20"/>
              </w:rPr>
              <w:t xml:space="preserve"> </w:t>
            </w:r>
            <w:r w:rsidRPr="00A91867">
              <w:rPr>
                <w:rFonts w:ascii="Sylfaen" w:eastAsia="Times New Roman" w:hAnsi="Sylfaen" w:cs="Sylfaen"/>
                <w:color w:val="000000"/>
                <w:sz w:val="20"/>
                <w:szCs w:val="20"/>
              </w:rPr>
              <w:t>წლები</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021E8F">
            <w:pPr>
              <w:spacing w:after="0" w:line="276" w:lineRule="auto"/>
              <w:jc w:val="center"/>
              <w:rPr>
                <w:rFonts w:ascii="Arial" w:hAnsi="Arial" w:cs="Arial"/>
                <w:sz w:val="20"/>
                <w:szCs w:val="20"/>
              </w:rPr>
            </w:pPr>
            <w:r w:rsidRPr="00A91867">
              <w:rPr>
                <w:rFonts w:ascii="Arial" w:hAnsi="Arial" w:cs="Arial"/>
                <w:sz w:val="20"/>
                <w:szCs w:val="20"/>
              </w:rPr>
              <w:t xml:space="preserve"> 29,654 </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021E8F">
            <w:pPr>
              <w:spacing w:after="0" w:line="276" w:lineRule="auto"/>
              <w:jc w:val="center"/>
              <w:rPr>
                <w:rFonts w:ascii="Arial" w:hAnsi="Arial" w:cs="Arial"/>
                <w:sz w:val="20"/>
                <w:szCs w:val="20"/>
              </w:rPr>
            </w:pPr>
            <w:r w:rsidRPr="00A91867">
              <w:rPr>
                <w:rFonts w:ascii="Arial" w:hAnsi="Arial" w:cs="Arial"/>
                <w:sz w:val="20"/>
                <w:szCs w:val="20"/>
              </w:rPr>
              <w:t xml:space="preserve"> 30,808 </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021E8F">
            <w:pPr>
              <w:spacing w:after="0" w:line="276" w:lineRule="auto"/>
              <w:jc w:val="center"/>
              <w:rPr>
                <w:rFonts w:ascii="Arial" w:hAnsi="Arial" w:cs="Arial"/>
                <w:sz w:val="20"/>
                <w:szCs w:val="20"/>
              </w:rPr>
            </w:pPr>
            <w:r w:rsidRPr="00A91867">
              <w:rPr>
                <w:rFonts w:ascii="Arial" w:hAnsi="Arial" w:cs="Arial"/>
                <w:sz w:val="20"/>
                <w:szCs w:val="20"/>
              </w:rPr>
              <w:t xml:space="preserve"> 33,598 </w:t>
            </w:r>
          </w:p>
        </w:tc>
        <w:tc>
          <w:tcPr>
            <w:tcW w:w="575" w:type="pct"/>
            <w:tcBorders>
              <w:top w:val="nil"/>
              <w:left w:val="nil"/>
              <w:bottom w:val="single" w:sz="4" w:space="0" w:color="auto"/>
              <w:right w:val="single" w:sz="4" w:space="0" w:color="auto"/>
            </w:tcBorders>
            <w:shd w:val="clear" w:color="auto" w:fill="auto"/>
            <w:hideMark/>
          </w:tcPr>
          <w:p w:rsidR="00E62DDE" w:rsidRPr="00A91867" w:rsidRDefault="00E62DDE" w:rsidP="00021E8F">
            <w:pPr>
              <w:spacing w:after="0" w:line="276" w:lineRule="auto"/>
              <w:jc w:val="center"/>
              <w:rPr>
                <w:rFonts w:ascii="Arial" w:hAnsi="Arial" w:cs="Arial"/>
                <w:sz w:val="20"/>
                <w:szCs w:val="20"/>
              </w:rPr>
            </w:pPr>
            <w:r w:rsidRPr="00A91867">
              <w:rPr>
                <w:rFonts w:ascii="Arial" w:hAnsi="Arial" w:cs="Arial"/>
                <w:sz w:val="20"/>
                <w:szCs w:val="20"/>
              </w:rPr>
              <w:t xml:space="preserve"> 35,818 </w:t>
            </w:r>
          </w:p>
        </w:tc>
        <w:tc>
          <w:tcPr>
            <w:tcW w:w="583" w:type="pct"/>
            <w:tcBorders>
              <w:top w:val="nil"/>
              <w:left w:val="nil"/>
              <w:bottom w:val="single" w:sz="4" w:space="0" w:color="auto"/>
              <w:right w:val="single" w:sz="4" w:space="0" w:color="auto"/>
            </w:tcBorders>
            <w:shd w:val="clear" w:color="auto" w:fill="auto"/>
            <w:hideMark/>
          </w:tcPr>
          <w:p w:rsidR="00E62DDE" w:rsidRPr="00A91867" w:rsidRDefault="00E62DDE" w:rsidP="00021E8F">
            <w:pPr>
              <w:spacing w:after="0" w:line="276" w:lineRule="auto"/>
              <w:jc w:val="center"/>
              <w:rPr>
                <w:rFonts w:ascii="Arial" w:hAnsi="Arial" w:cs="Arial"/>
                <w:sz w:val="20"/>
                <w:szCs w:val="20"/>
              </w:rPr>
            </w:pPr>
            <w:r w:rsidRPr="00A91867">
              <w:rPr>
                <w:rFonts w:ascii="Arial" w:hAnsi="Arial" w:cs="Arial"/>
                <w:sz w:val="20"/>
                <w:szCs w:val="20"/>
              </w:rPr>
              <w:t xml:space="preserve"> 37,878 </w:t>
            </w:r>
          </w:p>
        </w:tc>
        <w:tc>
          <w:tcPr>
            <w:tcW w:w="582" w:type="pct"/>
            <w:tcBorders>
              <w:top w:val="nil"/>
              <w:left w:val="nil"/>
              <w:bottom w:val="single" w:sz="4" w:space="0" w:color="auto"/>
              <w:right w:val="single" w:sz="4" w:space="0" w:color="auto"/>
            </w:tcBorders>
          </w:tcPr>
          <w:p w:rsidR="00E62DDE" w:rsidRPr="00A91867" w:rsidRDefault="00E62DDE" w:rsidP="00021E8F">
            <w:pPr>
              <w:spacing w:after="0" w:line="276" w:lineRule="auto"/>
              <w:jc w:val="center"/>
              <w:rPr>
                <w:rFonts w:ascii="Arial" w:hAnsi="Arial" w:cs="Arial"/>
                <w:sz w:val="20"/>
                <w:szCs w:val="20"/>
              </w:rPr>
            </w:pPr>
            <w:r w:rsidRPr="00A91867">
              <w:rPr>
                <w:rFonts w:ascii="Arial" w:hAnsi="Arial" w:cs="Arial"/>
                <w:sz w:val="20"/>
                <w:szCs w:val="20"/>
              </w:rPr>
              <w:t xml:space="preserve"> 39,877 </w:t>
            </w:r>
          </w:p>
        </w:tc>
      </w:tr>
      <w:tr w:rsidR="00E62DDE" w:rsidRPr="00393C5E" w:rsidTr="00021E8F">
        <w:trPr>
          <w:trHeight w:val="281"/>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E62DDE" w:rsidRPr="00393C5E" w:rsidRDefault="00E62DDE" w:rsidP="00021E8F">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D180F">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D180F">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D180F">
              <w:rPr>
                <w:rFonts w:ascii="Sylfaen" w:eastAsia="Times New Roman" w:hAnsi="Sylfaen" w:cs="Sylfaen"/>
                <w:color w:val="000000"/>
                <w:sz w:val="20"/>
                <w:szCs w:val="20"/>
              </w:rPr>
              <w:t>თან</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021E8F">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60.02%</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021E8F">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53.86%</w:t>
            </w:r>
          </w:p>
        </w:tc>
        <w:tc>
          <w:tcPr>
            <w:tcW w:w="720" w:type="pct"/>
            <w:tcBorders>
              <w:top w:val="nil"/>
              <w:left w:val="nil"/>
              <w:bottom w:val="single" w:sz="4" w:space="0" w:color="auto"/>
              <w:right w:val="single" w:sz="4" w:space="0" w:color="auto"/>
            </w:tcBorders>
            <w:shd w:val="clear" w:color="auto" w:fill="auto"/>
            <w:noWrap/>
            <w:hideMark/>
          </w:tcPr>
          <w:p w:rsidR="00E62DDE" w:rsidRPr="00A91867" w:rsidRDefault="00E62DDE" w:rsidP="00021E8F">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52.9%</w:t>
            </w:r>
          </w:p>
        </w:tc>
        <w:tc>
          <w:tcPr>
            <w:tcW w:w="575" w:type="pct"/>
            <w:tcBorders>
              <w:top w:val="nil"/>
              <w:left w:val="nil"/>
              <w:bottom w:val="single" w:sz="4" w:space="0" w:color="auto"/>
              <w:right w:val="single" w:sz="4" w:space="0" w:color="auto"/>
            </w:tcBorders>
            <w:shd w:val="clear" w:color="auto" w:fill="auto"/>
            <w:hideMark/>
          </w:tcPr>
          <w:p w:rsidR="00E62DDE" w:rsidRPr="00A91867" w:rsidRDefault="00E62DDE" w:rsidP="00021E8F">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51.3%</w:t>
            </w:r>
          </w:p>
        </w:tc>
        <w:tc>
          <w:tcPr>
            <w:tcW w:w="583" w:type="pct"/>
            <w:tcBorders>
              <w:top w:val="nil"/>
              <w:left w:val="nil"/>
              <w:bottom w:val="single" w:sz="4" w:space="0" w:color="auto"/>
              <w:right w:val="single" w:sz="4" w:space="0" w:color="auto"/>
            </w:tcBorders>
            <w:shd w:val="clear" w:color="auto" w:fill="auto"/>
            <w:hideMark/>
          </w:tcPr>
          <w:p w:rsidR="00E62DDE" w:rsidRPr="00A91867" w:rsidRDefault="00E62DDE" w:rsidP="00021E8F">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49.9%</w:t>
            </w:r>
          </w:p>
        </w:tc>
        <w:tc>
          <w:tcPr>
            <w:tcW w:w="582" w:type="pct"/>
            <w:tcBorders>
              <w:top w:val="nil"/>
              <w:left w:val="nil"/>
              <w:bottom w:val="single" w:sz="4" w:space="0" w:color="auto"/>
              <w:right w:val="single" w:sz="4" w:space="0" w:color="auto"/>
            </w:tcBorders>
          </w:tcPr>
          <w:p w:rsidR="00E62DDE" w:rsidRPr="00A91867" w:rsidRDefault="00E62DDE" w:rsidP="00021E8F">
            <w:pPr>
              <w:spacing w:after="0" w:line="276" w:lineRule="auto"/>
              <w:jc w:val="center"/>
              <w:rPr>
                <w:rFonts w:ascii="Arial" w:eastAsia="Times New Roman" w:hAnsi="Arial" w:cs="Arial"/>
                <w:color w:val="000000"/>
                <w:sz w:val="20"/>
                <w:szCs w:val="20"/>
                <w:lang w:val="ka-GE"/>
              </w:rPr>
            </w:pPr>
            <w:r w:rsidRPr="00A91867">
              <w:rPr>
                <w:rFonts w:ascii="Arial" w:eastAsia="Times New Roman" w:hAnsi="Arial" w:cs="Arial"/>
                <w:color w:val="000000"/>
                <w:sz w:val="20"/>
                <w:szCs w:val="20"/>
                <w:lang w:val="ka-GE"/>
              </w:rPr>
              <w:t>48.6%</w:t>
            </w:r>
          </w:p>
        </w:tc>
      </w:tr>
    </w:tbl>
    <w:p w:rsidR="00E62DDE" w:rsidRPr="006974FB" w:rsidRDefault="00E62DDE" w:rsidP="00E62DDE">
      <w:pPr>
        <w:pStyle w:val="NoSpacing"/>
        <w:spacing w:line="276" w:lineRule="auto"/>
        <w:ind w:firstLine="720"/>
        <w:jc w:val="both"/>
        <w:rPr>
          <w:rFonts w:ascii="Sylfaen" w:hAnsi="Sylfaen"/>
          <w:lang w:val="ka-GE"/>
        </w:rPr>
      </w:pPr>
    </w:p>
    <w:p w:rsidR="00E62DDE" w:rsidRPr="00CC2B3A" w:rsidRDefault="00E62DDE" w:rsidP="00E62DDE">
      <w:pPr>
        <w:pStyle w:val="NoSpacing"/>
        <w:spacing w:line="276" w:lineRule="auto"/>
        <w:ind w:firstLine="720"/>
        <w:jc w:val="both"/>
        <w:rPr>
          <w:rFonts w:ascii="Sylfaen" w:hAnsi="Sylfaen"/>
          <w:lang w:val="ka-GE"/>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7.7%-ის ნიშნულზე. ასევე, მშპ დეფლატორის ცვლილება მოსალოდნელია 7.5%-ის დონეზე. 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2,580 მლნ ლარის ფარგლებში, ლარის კურსის გამყარების გამო საგარეო ვალი აღნიშნულ პერიოდში მცირდება 1,223 მლნ ლარით, რაც ზრდის საგარეო ვალს 1,357 (2,580-1,233=1,357) მლნ ლარით ნაცვლად 2,580 მლნ ლარისა. ყოველივე ზემოხსენებულს აქვს დადებითი გავლენა მთავრობის ვალის მშპ-თან ფარდობის შემცირების მიმართულებით. შედეგად, 2021 წლის ბოლოს ვალის მშპ-თან ფარდობის შემცირება მოსალოდნელია 53.86%-მდე</w:t>
      </w:r>
      <w:r w:rsidR="0032238B">
        <w:rPr>
          <w:rFonts w:ascii="Sylfaen" w:hAnsi="Sylfaen"/>
          <w:lang w:val="ka-GE"/>
        </w:rPr>
        <w:t>, ხოლო 2020 წლის ბოლოსთვის მთავრობის ვალის მშპ-თან მიმართებაში პროგნოზირებულია 52.9%-ის ფარგლებში.</w:t>
      </w:r>
      <w:r>
        <w:rPr>
          <w:rFonts w:ascii="Sylfaen" w:hAnsi="Sylfaen"/>
          <w:lang w:val="ka-GE"/>
        </w:rPr>
        <w:t xml:space="preserve"> ვალის მშპ-თან ფარდობის შემცირება პროგნოზირებულია შემდეგ წლებშიც, 2025 წლის ბოლოს აღნიშნული მაჩვენებელი ჩამოვა 48,6%-მდე.</w:t>
      </w:r>
    </w:p>
    <w:p w:rsidR="00E62DDE" w:rsidRDefault="00E62DDE" w:rsidP="00E62DDE">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xml:space="preserve">. დაგროვილი ნაშთის გამოყენება ხდება 2021 წლის განმავლობაში (1570 მლნ ლარი). აღნიშნულის გამო, დაგეგმილია ადგილობრივ ბაზარზე სახაზინო ფასიანი ქაღალდების წმინდა გამოშვება </w:t>
      </w:r>
      <w:r w:rsidR="0015245E">
        <w:rPr>
          <w:rFonts w:ascii="Sylfaen" w:hAnsi="Sylfaen"/>
        </w:rPr>
        <w:t xml:space="preserve"> </w:t>
      </w:r>
      <w:r w:rsidR="00113698">
        <w:rPr>
          <w:rFonts w:ascii="Sylfaen" w:hAnsi="Sylfaen"/>
        </w:rPr>
        <w:t>(</w:t>
      </w:r>
      <w:r>
        <w:rPr>
          <w:rFonts w:ascii="Sylfaen" w:hAnsi="Sylfaen"/>
          <w:lang w:val="ka-GE"/>
        </w:rPr>
        <w:t>-150</w:t>
      </w:r>
      <w:r w:rsidR="00113698">
        <w:rPr>
          <w:rFonts w:ascii="Sylfaen" w:hAnsi="Sylfaen"/>
        </w:rPr>
        <w:t>)</w:t>
      </w:r>
      <w:r>
        <w:rPr>
          <w:rFonts w:ascii="Sylfaen" w:hAnsi="Sylfaen"/>
          <w:lang w:val="ka-GE"/>
        </w:rPr>
        <w:t xml:space="preserve"> მლნ ლარის დონეზე, რაც დამატებით ხელს უწყობს მთავრობის ვალის მოცულობის შემცირებას. </w:t>
      </w:r>
      <w:r w:rsidRPr="00733151">
        <w:rPr>
          <w:rFonts w:ascii="Sylfaen" w:hAnsi="Sylfaen"/>
          <w:lang w:val="ka-GE"/>
        </w:rPr>
        <w:t xml:space="preserve"> </w:t>
      </w:r>
    </w:p>
    <w:p w:rsidR="007B6E63" w:rsidRDefault="00E62DDE" w:rsidP="00470304">
      <w:pPr>
        <w:pStyle w:val="NoSpacing"/>
        <w:spacing w:line="276" w:lineRule="auto"/>
        <w:ind w:firstLine="720"/>
        <w:jc w:val="both"/>
        <w:rPr>
          <w:rFonts w:ascii="Sylfaen" w:hAnsi="Sylfaen"/>
          <w:lang w:val="ka-GE"/>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 xml:space="preserve">შესაბამისად, მთავრობის ვალის მართვის პოლიტიკა (განახლბული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მშპ-თან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p w:rsidR="0032238B" w:rsidRDefault="0032238B" w:rsidP="00470304">
      <w:pPr>
        <w:pStyle w:val="NoSpacing"/>
        <w:spacing w:line="276" w:lineRule="auto"/>
        <w:ind w:firstLine="720"/>
        <w:jc w:val="both"/>
        <w:rPr>
          <w:rFonts w:ascii="Sylfaen" w:hAnsi="Sylfaen"/>
          <w:b/>
        </w:rPr>
      </w:pPr>
    </w:p>
    <w:p w:rsidR="0032238B" w:rsidRPr="000B68F3" w:rsidRDefault="0032238B" w:rsidP="0032238B">
      <w:pPr>
        <w:pStyle w:val="Heading2"/>
        <w:numPr>
          <w:ilvl w:val="0"/>
          <w:numId w:val="1"/>
        </w:numPr>
        <w:jc w:val="center"/>
        <w:rPr>
          <w:b/>
        </w:rPr>
      </w:pPr>
      <w:r w:rsidRPr="000B68F3">
        <w:rPr>
          <w:b/>
        </w:rPr>
        <w:t>ინფორმაცია მაკროეკონომიკური პროგნოზების ამსახველი ცხრილების შესახებ</w:t>
      </w:r>
    </w:p>
    <w:p w:rsidR="0032238B" w:rsidRDefault="0032238B" w:rsidP="0032238B">
      <w:pPr>
        <w:widowControl w:val="0"/>
        <w:autoSpaceDE w:val="0"/>
        <w:autoSpaceDN w:val="0"/>
        <w:adjustRightInd w:val="0"/>
        <w:spacing w:after="0" w:line="120" w:lineRule="exact"/>
        <w:rPr>
          <w:rFonts w:ascii="Sylfaen" w:hAnsi="Sylfaen" w:cs="Sylfaen"/>
          <w:color w:val="000000"/>
          <w:sz w:val="12"/>
          <w:szCs w:val="12"/>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პროგნოზები  მომზადებულია  საერთაშორისო  საფინანსო  ინსტიტუტების  მსგავსი ფორმითა და მეთოდოლოგიით. წარმოდგენილი ფორმატი მიახლოებულია საერთაშორისო სავალუტო ფონდის მიერ, ფინანსური პროგრამის მომზადებისას გამოყენებულ ფორმატთან. თუმცა პროგნოზის ფორმირებისას გათვალისწინებულია საქართველოში არსებული რეალური მდგომარეობა და გამოყენებული მეთოდოლოგია არ არის სხვა არსებული მთოდოლოგიის მექანიკური კოპირება.</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სპეციალურ დანართში მოცემულია მაკროეკონომიკური პროგნოზის ამსახველი 7 ცხრილი (10 ფურცელი). პირველი ცხრილი არის ძირითადი ეკონომიკური და ფინანსური ინდიკატორების ნაკრები, ხოლო დანარჩენი 5 ცხრილი არის ნაერთი და სახელმმწიფოს ერთიანი ბიუჯეტების, ეროვნული ანგარიშებისა და სხვა სექტორების განვითარების ამსახველი საპროგნოზო მაჩვენებლები.</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ძირითადი ეკონომიკური და ფინანსური ინდიკატორების ამსახველი ცხრილი 1 პირობითად გაყოფილია ორ ნაწილად. პირველ ნაწილში წარმოდგენილია ეკონომიკური ინდიკატორის ცვლილება წინა წელთან შედარებით (თუ ცხრილში სხვაგვარად არ არის მითითებული), ხოლო მეორე ნაწილში მოცემულია ეკონომიკური ინდიკატორების ფარდობითი სიდიდეები მთლიანი შიდა პროდუქტის მიმართ.</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ცხრილი 1-ში მოცემულია ნომინალური და რეალური მთლიანი შიდა პროდუქტი (მშპ) და მათი პროცენტული ცვლილება წინა წელთან შედარებით, მშპ ერთ სულ მოსახლეზე, ქვეყანაში ინვესტიციების მოცულობა მიმდინარე ფასებში, სამომხმარებლო ფასების და მშპ-ს დეფლატორის პროცენტული ცვლილება. მოცემულია ნაერთი ბიუჯეტის შემოსავლებისა და ხარჯების პროცენტული ცვლილება წინა წელთან. აქვე გვაქვს ექსპორტისა და იმპორტის პროცენტული ცვლილებები და ფულის მასის აგრეგარების მოსალოდნელი ზრდა წინა წელთან შედარებით. ცხრილი მოიცავს ფულის მიმოქცევის სიჩქარის, ფულის მულტიპლიკატორის და ქვეყნის ოფიციალური საერთაშორისო რეზერვების საპროგნოზო მაჩვენებლებსაც. პირველ ნაწილშია მოცემული სესხებზე და დეპოზიტებზე საპროცენტო განაკვეთების საპროგნოზო მაჩვენებლებიც.</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ცხრილის მეორე ნაწილში წარმოდგენილია ნაერთი ბიუჯეტის შემოსავლები, ხარჯები, საოპერაციო სალდო და მთლიანი სალდო პროცენტულად მშპ-სთან. სავაჭრო ბალანსი და მიმდინარე  ანგარიშის  დეფიციტი  როგორც  ტრანსფერების  ჩათვლით,  ისე  მის  გარეშე.  ასევე, მთავრობის საშინაო და საგარეო ვალის შეფასების ინდიკატორები. კერძოდ, საშიანო და საგარეო ვალი პროცენტულად მშპ-ს მიმართ, საგარეო ვალი და ვალის მომსახურება პროცენტულად ექსპორტთან და ვალი ბიუჯეტის შემოსავლებთან.</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მე-2  ცხრილში  „ეროვნული  ანგარიშები“  მოცემულია  ე.წ.  რეალური  სექტორის განვითარების  მაჩვენებლები.  ამ  ცხრილებში  წარმოდგენილია  მთლიანი  შიდა  პროდუქტის  და მისი შემადგენელი კომპონენტების: მთავრობისა და კერძო სამომხმარებლო ხარჯების, ინვესტიციებისა და წმინდა ექსპორტის პროგნოზები, აქვე ნაჩვენებია მთლიანი ეროვნული პროდუქტის და მთლიანი ეროვნული და კერძო განკარგვადი შემოსავლების პროგნოზები. ამავე ცხრილებშია ნაჩვებები, დანაზოგებისა და ინვესტიციების დინამიკა. აღნიშნული მაჩვენებლები მოცემულია როგორც მიმდინარე ფასებში, ასევე რეალურ გამოხატულებაში (2001 წლის ფასებში) და პროცენტულად მშპ-ს მიმართ.</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ამავე ცხრილში წარმოდგენილია სხვადასხვა საცნობარო ინფორმაცია, ისეთი როგორიცაა სამომხმარებლო ფასების ინდექსები (საშუალო პერიოდული და პერიოდის ბოლოსთვის), მშპ-ს დეფლატორი და ინფლაცია, პროცენტები სესხებზე და დეპოზიტებზე.</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მე-3 ცხრილში ნაჩვენებია ნაერთი ბიუჯეტის პროგნოზები. ნაერთი ბიუჯეტი მოცემულია მილიონ ლარში და პროცენტულად მშპ-სთან. ცალკე მუხლებად არის ჩაშლილი ბიუჯეტის შემოსავლები, ხარჯები, არაფინანსური და ფინანსური აქტივების, ვალდებულებებისა და დეპოზიტზე არსებული ნაშთის ცვლილება. ამავე ცხრილში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 მილიონ ლარში, ასევე მშპ-ს  პროცენტში.</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rPr>
        <w:t>ნაერთ ბიუჯეტთან ერთად მოცემულია სახელმწიფო ვალის და ვალის მომსახურების სხვადასხვა მაჩვენებელი, რომელთა ნაწილიც ასეევე მოცემულია პირველ ცხრილშიც.</w:t>
      </w:r>
    </w:p>
    <w:p w:rsidR="0032238B" w:rsidRPr="00BF170F"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3235CA">
        <w:rPr>
          <w:rFonts w:ascii="Sylfaen" w:hAnsi="Sylfaen" w:cs="Sylfaen"/>
        </w:rPr>
        <w:t>მე-</w:t>
      </w:r>
      <w:r w:rsidRPr="007B3E40">
        <w:rPr>
          <w:rFonts w:ascii="Sylfaen" w:hAnsi="Sylfaen" w:cs="Sylfaen"/>
        </w:rPr>
        <w:t>4</w:t>
      </w:r>
      <w:r w:rsidRPr="003235CA">
        <w:rPr>
          <w:rFonts w:ascii="Sylfaen" w:hAnsi="Sylfaen" w:cs="Sylfaen"/>
        </w:rPr>
        <w:t xml:space="preserve"> ცხრილში</w:t>
      </w:r>
      <w:r w:rsidRPr="00BF170F">
        <w:rPr>
          <w:rFonts w:ascii="Sylfaen" w:hAnsi="Sylfaen" w:cs="Sylfaen"/>
        </w:rPr>
        <w:t xml:space="preserve"> </w:t>
      </w:r>
      <w:r w:rsidRPr="003235CA">
        <w:rPr>
          <w:rFonts w:ascii="Sylfaen" w:hAnsi="Sylfaen" w:cs="Sylfaen"/>
        </w:rPr>
        <w:t>„საგადამხდელო</w:t>
      </w:r>
      <w:r w:rsidRPr="00BF170F">
        <w:rPr>
          <w:rFonts w:ascii="Sylfaen" w:hAnsi="Sylfaen" w:cs="Sylfaen"/>
        </w:rPr>
        <w:t xml:space="preserve"> </w:t>
      </w:r>
      <w:r w:rsidRPr="003235CA">
        <w:rPr>
          <w:rFonts w:ascii="Sylfaen" w:hAnsi="Sylfaen" w:cs="Sylfaen"/>
        </w:rPr>
        <w:t>ბალანსი“</w:t>
      </w:r>
      <w:r w:rsidRPr="00BF170F">
        <w:rPr>
          <w:rFonts w:ascii="Sylfaen" w:hAnsi="Sylfaen" w:cs="Sylfaen"/>
        </w:rPr>
        <w:t xml:space="preserve"> </w:t>
      </w:r>
      <w:r w:rsidRPr="003235CA">
        <w:rPr>
          <w:rFonts w:ascii="Sylfaen" w:hAnsi="Sylfaen" w:cs="Sylfaen"/>
        </w:rPr>
        <w:t>მოცემულია</w:t>
      </w:r>
      <w:r w:rsidRPr="00BF170F">
        <w:rPr>
          <w:rFonts w:ascii="Sylfaen" w:hAnsi="Sylfaen" w:cs="Sylfaen"/>
        </w:rPr>
        <w:t xml:space="preserve"> </w:t>
      </w:r>
      <w:r w:rsidRPr="003235CA">
        <w:rPr>
          <w:rFonts w:ascii="Sylfaen" w:hAnsi="Sylfaen" w:cs="Sylfaen"/>
        </w:rPr>
        <w:t>საგარეო-ეკონომიკური</w:t>
      </w:r>
      <w:r w:rsidRPr="00BF170F">
        <w:rPr>
          <w:rFonts w:ascii="Sylfaen" w:hAnsi="Sylfaen" w:cs="Sylfaen"/>
        </w:rPr>
        <w:t xml:space="preserve"> </w:t>
      </w:r>
      <w:r w:rsidRPr="007B3E40">
        <w:rPr>
          <w:rFonts w:ascii="Sylfaen" w:hAnsi="Sylfaen" w:cs="Sylfaen"/>
        </w:rPr>
        <w:t>ურთიერთობების</w:t>
      </w:r>
      <w:r w:rsidRPr="00BF170F">
        <w:rPr>
          <w:rFonts w:ascii="Sylfaen" w:hAnsi="Sylfaen" w:cs="Sylfaen"/>
        </w:rPr>
        <w:t xml:space="preserve"> </w:t>
      </w:r>
      <w:r w:rsidRPr="007B3E40">
        <w:rPr>
          <w:rFonts w:ascii="Sylfaen" w:hAnsi="Sylfaen" w:cs="Sylfaen"/>
        </w:rPr>
        <w:t>ამსახველი</w:t>
      </w:r>
      <w:r w:rsidRPr="00BF170F">
        <w:rPr>
          <w:rFonts w:ascii="Sylfaen" w:hAnsi="Sylfaen" w:cs="Sylfaen"/>
        </w:rPr>
        <w:t xml:space="preserve"> </w:t>
      </w:r>
      <w:r w:rsidRPr="007B3E40">
        <w:rPr>
          <w:rFonts w:ascii="Sylfaen" w:hAnsi="Sylfaen" w:cs="Sylfaen"/>
        </w:rPr>
        <w:t>ძირითადი</w:t>
      </w:r>
      <w:r w:rsidRPr="00BF170F">
        <w:rPr>
          <w:rFonts w:ascii="Sylfaen" w:hAnsi="Sylfaen" w:cs="Sylfaen"/>
        </w:rPr>
        <w:t xml:space="preserve"> </w:t>
      </w:r>
      <w:r w:rsidRPr="007B3E40">
        <w:rPr>
          <w:rFonts w:ascii="Sylfaen" w:hAnsi="Sylfaen" w:cs="Sylfaen"/>
        </w:rPr>
        <w:t>მაჩვენებლები</w:t>
      </w:r>
      <w:r w:rsidRPr="00BF170F">
        <w:rPr>
          <w:rFonts w:ascii="Sylfaen" w:hAnsi="Sylfaen" w:cs="Sylfaen"/>
        </w:rPr>
        <w:t xml:space="preserve"> </w:t>
      </w:r>
      <w:r w:rsidRPr="007B3E40">
        <w:rPr>
          <w:rFonts w:ascii="Sylfaen" w:hAnsi="Sylfaen" w:cs="Sylfaen"/>
        </w:rPr>
        <w:t>როგორც</w:t>
      </w:r>
      <w:r w:rsidRPr="00BF170F">
        <w:rPr>
          <w:rFonts w:ascii="Sylfaen" w:hAnsi="Sylfaen" w:cs="Sylfaen"/>
        </w:rPr>
        <w:t xml:space="preserve"> </w:t>
      </w:r>
      <w:r w:rsidRPr="007B3E40">
        <w:rPr>
          <w:rFonts w:ascii="Sylfaen" w:hAnsi="Sylfaen" w:cs="Sylfaen"/>
        </w:rPr>
        <w:t>აშშ</w:t>
      </w:r>
      <w:r w:rsidRPr="00BF170F">
        <w:rPr>
          <w:rFonts w:ascii="Sylfaen" w:hAnsi="Sylfaen" w:cs="Sylfaen"/>
        </w:rPr>
        <w:t xml:space="preserve"> </w:t>
      </w:r>
      <w:r w:rsidRPr="007B3E40">
        <w:rPr>
          <w:rFonts w:ascii="Sylfaen" w:hAnsi="Sylfaen" w:cs="Sylfaen"/>
        </w:rPr>
        <w:t>დოლარში,ისე</w:t>
      </w:r>
      <w:r w:rsidRPr="00BF170F">
        <w:rPr>
          <w:rFonts w:ascii="Sylfaen" w:hAnsi="Sylfaen" w:cs="Sylfaen"/>
        </w:rPr>
        <w:t xml:space="preserve"> </w:t>
      </w:r>
      <w:r w:rsidRPr="007B3E40">
        <w:rPr>
          <w:rFonts w:ascii="Sylfaen" w:hAnsi="Sylfaen" w:cs="Sylfaen"/>
        </w:rPr>
        <w:t>პროცენტულად მშპ-ს მიმართ. ამ ცრილებში მოცემულია საქონლისა და მომსახურების ექსპორტი</w:t>
      </w:r>
      <w:r w:rsidRPr="00BF170F">
        <w:rPr>
          <w:rFonts w:ascii="Sylfaen" w:hAnsi="Sylfaen" w:cs="Sylfaen"/>
        </w:rPr>
        <w:t xml:space="preserve"> </w:t>
      </w:r>
      <w:r>
        <w:rPr>
          <w:rFonts w:ascii="Sylfaen" w:hAnsi="Sylfaen" w:cs="Sylfaen"/>
        </w:rPr>
        <w:t>და იმპორტი,</w:t>
      </w:r>
      <w:r w:rsidRPr="007B3E40">
        <w:rPr>
          <w:rFonts w:ascii="Sylfaen" w:hAnsi="Sylfaen" w:cs="Sylfaen"/>
        </w:rPr>
        <w:t xml:space="preserve"> </w:t>
      </w:r>
      <w:r>
        <w:rPr>
          <w:rFonts w:ascii="Sylfaen" w:hAnsi="Sylfaen" w:cs="Sylfaen"/>
        </w:rPr>
        <w:t>სავაჭრო</w:t>
      </w:r>
      <w:r w:rsidRPr="007B3E40">
        <w:rPr>
          <w:rFonts w:ascii="Sylfaen" w:hAnsi="Sylfaen" w:cs="Sylfaen"/>
        </w:rPr>
        <w:t xml:space="preserve"> </w:t>
      </w:r>
      <w:r>
        <w:rPr>
          <w:rFonts w:ascii="Sylfaen" w:hAnsi="Sylfaen" w:cs="Sylfaen"/>
        </w:rPr>
        <w:t>და მომსახურების</w:t>
      </w:r>
      <w:r w:rsidRPr="007B3E40">
        <w:rPr>
          <w:rFonts w:ascii="Sylfaen" w:hAnsi="Sylfaen" w:cs="Sylfaen"/>
        </w:rPr>
        <w:t xml:space="preserve"> </w:t>
      </w:r>
      <w:r>
        <w:rPr>
          <w:rFonts w:ascii="Sylfaen" w:hAnsi="Sylfaen" w:cs="Sylfaen"/>
        </w:rPr>
        <w:t>ბალანსი, საგარეო-ეკონომიკური</w:t>
      </w:r>
      <w:r w:rsidRPr="007B3E40">
        <w:rPr>
          <w:rFonts w:ascii="Sylfaen" w:hAnsi="Sylfaen" w:cs="Sylfaen"/>
        </w:rPr>
        <w:t xml:space="preserve"> </w:t>
      </w:r>
      <w:r>
        <w:rPr>
          <w:rFonts w:ascii="Sylfaen" w:hAnsi="Sylfaen" w:cs="Sylfaen"/>
        </w:rPr>
        <w:t>ურთიერთობებიდან მიღებული წმინდა ფაქტორული შემოსავლები, წმინდა ტრანსფერები, მიმდინარე ანგარიშის ბალანსი, კაპიტალისა</w:t>
      </w:r>
      <w:r w:rsidRPr="007B3E40">
        <w:rPr>
          <w:rFonts w:ascii="Sylfaen" w:hAnsi="Sylfaen" w:cs="Sylfaen"/>
        </w:rPr>
        <w:t xml:space="preserve"> </w:t>
      </w:r>
      <w:r>
        <w:rPr>
          <w:rFonts w:ascii="Sylfaen" w:hAnsi="Sylfaen" w:cs="Sylfaen"/>
        </w:rPr>
        <w:t>და ფინანსური</w:t>
      </w:r>
      <w:r w:rsidRPr="007B3E40">
        <w:rPr>
          <w:rFonts w:ascii="Sylfaen" w:hAnsi="Sylfaen" w:cs="Sylfaen"/>
        </w:rPr>
        <w:t xml:space="preserve"> </w:t>
      </w:r>
      <w:r>
        <w:rPr>
          <w:rFonts w:ascii="Sylfaen" w:hAnsi="Sylfaen" w:cs="Sylfaen"/>
        </w:rPr>
        <w:t>ოპერაციები,</w:t>
      </w:r>
      <w:r w:rsidRPr="007B3E40">
        <w:rPr>
          <w:rFonts w:ascii="Sylfaen" w:hAnsi="Sylfaen" w:cs="Sylfaen"/>
        </w:rPr>
        <w:t xml:space="preserve"> </w:t>
      </w:r>
      <w:r>
        <w:rPr>
          <w:rFonts w:ascii="Sylfaen" w:hAnsi="Sylfaen" w:cs="Sylfaen"/>
        </w:rPr>
        <w:t>ინფორმაცია</w:t>
      </w:r>
      <w:r w:rsidRPr="007B3E40">
        <w:rPr>
          <w:rFonts w:ascii="Sylfaen" w:hAnsi="Sylfaen" w:cs="Sylfaen"/>
        </w:rPr>
        <w:t xml:space="preserve"> </w:t>
      </w:r>
      <w:r>
        <w:rPr>
          <w:rFonts w:ascii="Sylfaen" w:hAnsi="Sylfaen" w:cs="Sylfaen"/>
        </w:rPr>
        <w:t>უცხოური</w:t>
      </w:r>
      <w:r w:rsidRPr="007B3E40">
        <w:rPr>
          <w:rFonts w:ascii="Sylfaen" w:hAnsi="Sylfaen" w:cs="Sylfaen"/>
        </w:rPr>
        <w:t xml:space="preserve"> </w:t>
      </w:r>
      <w:r>
        <w:rPr>
          <w:rFonts w:ascii="Sylfaen" w:hAnsi="Sylfaen" w:cs="Sylfaen"/>
        </w:rPr>
        <w:t>კაპიტალის</w:t>
      </w:r>
      <w:r w:rsidRPr="007B3E40">
        <w:rPr>
          <w:rFonts w:ascii="Sylfaen" w:hAnsi="Sylfaen" w:cs="Sylfaen"/>
        </w:rPr>
        <w:t xml:space="preserve"> </w:t>
      </w:r>
      <w:r>
        <w:rPr>
          <w:rFonts w:ascii="Sylfaen" w:hAnsi="Sylfaen" w:cs="Sylfaen"/>
        </w:rPr>
        <w:t>მოძრაობის შესახებ და</w:t>
      </w:r>
      <w:r w:rsidRPr="007B3E40">
        <w:rPr>
          <w:rFonts w:ascii="Sylfaen" w:hAnsi="Sylfaen" w:cs="Sylfaen"/>
        </w:rPr>
        <w:t xml:space="preserve"> </w:t>
      </w:r>
      <w:r>
        <w:rPr>
          <w:rFonts w:ascii="Sylfaen" w:hAnsi="Sylfaen" w:cs="Sylfaen"/>
        </w:rPr>
        <w:t>ოფიციალური</w:t>
      </w:r>
      <w:r w:rsidRPr="007B3E40">
        <w:rPr>
          <w:rFonts w:ascii="Sylfaen" w:hAnsi="Sylfaen" w:cs="Sylfaen"/>
        </w:rPr>
        <w:t xml:space="preserve"> </w:t>
      </w:r>
      <w:r>
        <w:rPr>
          <w:rFonts w:ascii="Sylfaen" w:hAnsi="Sylfaen" w:cs="Sylfaen"/>
        </w:rPr>
        <w:t>საერთაშორისო</w:t>
      </w:r>
      <w:r w:rsidRPr="007B3E40">
        <w:rPr>
          <w:rFonts w:ascii="Sylfaen" w:hAnsi="Sylfaen" w:cs="Sylfaen"/>
        </w:rPr>
        <w:t xml:space="preserve"> </w:t>
      </w:r>
      <w:r>
        <w:rPr>
          <w:rFonts w:ascii="Sylfaen" w:hAnsi="Sylfaen" w:cs="Sylfaen"/>
        </w:rPr>
        <w:t>რეზერვების</w:t>
      </w:r>
      <w:r w:rsidRPr="007B3E40">
        <w:rPr>
          <w:rFonts w:ascii="Sylfaen" w:hAnsi="Sylfaen" w:cs="Sylfaen"/>
        </w:rPr>
        <w:t xml:space="preserve"> </w:t>
      </w:r>
      <w:r>
        <w:rPr>
          <w:rFonts w:ascii="Sylfaen" w:hAnsi="Sylfaen" w:cs="Sylfaen"/>
        </w:rPr>
        <w:t>ცვლილება.</w:t>
      </w:r>
    </w:p>
    <w:p w:rsidR="0032238B"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Pr>
          <w:rFonts w:ascii="Sylfaen" w:hAnsi="Sylfaen" w:cs="Sylfaen"/>
        </w:rPr>
        <w:t>მე-5 და მე-6 ცხრილები</w:t>
      </w:r>
      <w:r w:rsidRPr="007B3E40">
        <w:rPr>
          <w:rFonts w:ascii="Sylfaen" w:hAnsi="Sylfaen" w:cs="Sylfaen"/>
        </w:rPr>
        <w:t xml:space="preserve"> </w:t>
      </w:r>
      <w:r>
        <w:rPr>
          <w:rFonts w:ascii="Sylfaen" w:hAnsi="Sylfaen" w:cs="Sylfaen"/>
        </w:rPr>
        <w:t>გვიჩვენებს</w:t>
      </w:r>
      <w:r w:rsidRPr="007B3E40">
        <w:rPr>
          <w:rFonts w:ascii="Sylfaen" w:hAnsi="Sylfaen" w:cs="Sylfaen"/>
        </w:rPr>
        <w:t xml:space="preserve"> </w:t>
      </w:r>
      <w:r>
        <w:rPr>
          <w:rFonts w:ascii="Sylfaen" w:hAnsi="Sylfaen" w:cs="Sylfaen"/>
        </w:rPr>
        <w:t>მონეტარული სექტორის განვითარების</w:t>
      </w:r>
      <w:r w:rsidRPr="007B3E40">
        <w:rPr>
          <w:rFonts w:ascii="Sylfaen" w:hAnsi="Sylfaen" w:cs="Sylfaen"/>
        </w:rPr>
        <w:t xml:space="preserve"> </w:t>
      </w:r>
      <w:r>
        <w:rPr>
          <w:rFonts w:ascii="Sylfaen" w:hAnsi="Sylfaen" w:cs="Sylfaen"/>
        </w:rPr>
        <w:t>დინამიკას. დეპოზიტური კორპორაციების</w:t>
      </w:r>
      <w:r w:rsidRPr="007B3E40">
        <w:rPr>
          <w:rFonts w:ascii="Sylfaen" w:hAnsi="Sylfaen" w:cs="Sylfaen"/>
        </w:rPr>
        <w:t xml:space="preserve"> </w:t>
      </w:r>
      <w:r>
        <w:rPr>
          <w:rFonts w:ascii="Sylfaen" w:hAnsi="Sylfaen" w:cs="Sylfaen"/>
        </w:rPr>
        <w:t>მიმოხილვა გვიჩვენებს მთლიანად საბანკო სექტორს, მაშინ როდესაც</w:t>
      </w:r>
      <w:r w:rsidRPr="007B3E40">
        <w:rPr>
          <w:rFonts w:ascii="Sylfaen" w:hAnsi="Sylfaen" w:cs="Sylfaen"/>
        </w:rPr>
        <w:t xml:space="preserve"> </w:t>
      </w:r>
      <w:r>
        <w:rPr>
          <w:rFonts w:ascii="Sylfaen" w:hAnsi="Sylfaen" w:cs="Sylfaen"/>
        </w:rPr>
        <w:t>(მისი მნიშვნელობიდან</w:t>
      </w:r>
      <w:r w:rsidRPr="007B3E40">
        <w:rPr>
          <w:rFonts w:ascii="Sylfaen" w:hAnsi="Sylfaen" w:cs="Sylfaen"/>
        </w:rPr>
        <w:t xml:space="preserve"> </w:t>
      </w:r>
      <w:r>
        <w:rPr>
          <w:rFonts w:ascii="Sylfaen" w:hAnsi="Sylfaen" w:cs="Sylfaen"/>
        </w:rPr>
        <w:t>გამომდინარე)</w:t>
      </w:r>
      <w:r w:rsidRPr="007B3E40">
        <w:rPr>
          <w:rFonts w:ascii="Sylfaen" w:hAnsi="Sylfaen" w:cs="Sylfaen"/>
        </w:rPr>
        <w:t xml:space="preserve"> </w:t>
      </w:r>
      <w:r>
        <w:rPr>
          <w:rFonts w:ascii="Sylfaen" w:hAnsi="Sylfaen" w:cs="Sylfaen"/>
        </w:rPr>
        <w:t>მე-6 ცხრილში</w:t>
      </w:r>
      <w:r w:rsidRPr="007B3E40">
        <w:rPr>
          <w:rFonts w:ascii="Sylfaen" w:hAnsi="Sylfaen" w:cs="Sylfaen"/>
        </w:rPr>
        <w:t xml:space="preserve"> </w:t>
      </w:r>
      <w:r>
        <w:rPr>
          <w:rFonts w:ascii="Sylfaen" w:hAnsi="Sylfaen" w:cs="Sylfaen"/>
        </w:rPr>
        <w:t>ეროვნული</w:t>
      </w:r>
      <w:r w:rsidRPr="007B3E40">
        <w:rPr>
          <w:rFonts w:ascii="Sylfaen" w:hAnsi="Sylfaen" w:cs="Sylfaen"/>
        </w:rPr>
        <w:t xml:space="preserve"> </w:t>
      </w:r>
      <w:r>
        <w:rPr>
          <w:rFonts w:ascii="Sylfaen" w:hAnsi="Sylfaen" w:cs="Sylfaen"/>
        </w:rPr>
        <w:t>ბანკი</w:t>
      </w:r>
      <w:r w:rsidRPr="007B3E40">
        <w:rPr>
          <w:rFonts w:ascii="Sylfaen" w:hAnsi="Sylfaen" w:cs="Sylfaen"/>
        </w:rPr>
        <w:t xml:space="preserve"> </w:t>
      </w:r>
      <w:r>
        <w:rPr>
          <w:rFonts w:ascii="Sylfaen" w:hAnsi="Sylfaen" w:cs="Sylfaen"/>
        </w:rPr>
        <w:t>ცალკეა გამოყოფილი.</w:t>
      </w:r>
      <w:r w:rsidRPr="007B3E40">
        <w:rPr>
          <w:rFonts w:ascii="Sylfaen" w:hAnsi="Sylfaen" w:cs="Sylfaen"/>
        </w:rPr>
        <w:t xml:space="preserve"> </w:t>
      </w:r>
      <w:r>
        <w:rPr>
          <w:rFonts w:ascii="Sylfaen" w:hAnsi="Sylfaen" w:cs="Sylfaen"/>
        </w:rPr>
        <w:t>წარმოდგენილი</w:t>
      </w:r>
      <w:r w:rsidRPr="007B3E40">
        <w:rPr>
          <w:rFonts w:ascii="Sylfaen" w:hAnsi="Sylfaen" w:cs="Sylfaen"/>
        </w:rPr>
        <w:t xml:space="preserve"> </w:t>
      </w:r>
      <w:r>
        <w:rPr>
          <w:rFonts w:ascii="Sylfaen" w:hAnsi="Sylfaen" w:cs="Sylfaen"/>
        </w:rPr>
        <w:t>პროგნოზი</w:t>
      </w:r>
      <w:r w:rsidRPr="007B3E40">
        <w:rPr>
          <w:rFonts w:ascii="Sylfaen" w:hAnsi="Sylfaen" w:cs="Sylfaen"/>
        </w:rPr>
        <w:t xml:space="preserve"> </w:t>
      </w:r>
      <w:r>
        <w:rPr>
          <w:rFonts w:ascii="Sylfaen" w:hAnsi="Sylfaen" w:cs="Sylfaen"/>
        </w:rPr>
        <w:t>არ არის ეროვნული</w:t>
      </w:r>
      <w:r w:rsidRPr="007B3E40">
        <w:rPr>
          <w:rFonts w:ascii="Sylfaen" w:hAnsi="Sylfaen" w:cs="Sylfaen"/>
        </w:rPr>
        <w:t xml:space="preserve"> </w:t>
      </w:r>
      <w:r>
        <w:rPr>
          <w:rFonts w:ascii="Sylfaen" w:hAnsi="Sylfaen" w:cs="Sylfaen"/>
        </w:rPr>
        <w:t>ბანკის</w:t>
      </w:r>
      <w:r w:rsidRPr="007B3E40">
        <w:rPr>
          <w:rFonts w:ascii="Sylfaen" w:hAnsi="Sylfaen" w:cs="Sylfaen"/>
        </w:rPr>
        <w:t xml:space="preserve"> </w:t>
      </w:r>
      <w:r>
        <w:rPr>
          <w:rFonts w:ascii="Sylfaen" w:hAnsi="Sylfaen" w:cs="Sylfaen"/>
        </w:rPr>
        <w:t>სამოქმედო</w:t>
      </w:r>
      <w:r w:rsidRPr="007B3E40">
        <w:rPr>
          <w:rFonts w:ascii="Sylfaen" w:hAnsi="Sylfaen" w:cs="Sylfaen"/>
        </w:rPr>
        <w:t xml:space="preserve"> </w:t>
      </w:r>
      <w:r>
        <w:rPr>
          <w:rFonts w:ascii="Sylfaen" w:hAnsi="Sylfaen" w:cs="Sylfaen"/>
        </w:rPr>
        <w:t>გეგმა,</w:t>
      </w:r>
      <w:r w:rsidRPr="007B3E40">
        <w:rPr>
          <w:rFonts w:ascii="Sylfaen" w:hAnsi="Sylfaen" w:cs="Sylfaen"/>
        </w:rPr>
        <w:t xml:space="preserve"> </w:t>
      </w:r>
      <w:r>
        <w:rPr>
          <w:rFonts w:ascii="Sylfaen" w:hAnsi="Sylfaen" w:cs="Sylfaen"/>
        </w:rPr>
        <w:t>თუმცა ეროვნული ბანკის გარეშე პროგნოზი იქნებოდა ფრაგმენტული და შეუძლებელი გახდებოდა საბანკო სისტემაზე სამთავრობო სექტორის შესაძლო არასასურველი გავლენის მონიტორინგი. საბანკო</w:t>
      </w:r>
      <w:r w:rsidRPr="007B3E40">
        <w:rPr>
          <w:rFonts w:ascii="Sylfaen" w:hAnsi="Sylfaen" w:cs="Sylfaen"/>
        </w:rPr>
        <w:t xml:space="preserve"> </w:t>
      </w:r>
      <w:r>
        <w:rPr>
          <w:rFonts w:ascii="Sylfaen" w:hAnsi="Sylfaen" w:cs="Sylfaen"/>
        </w:rPr>
        <w:t>სექტორის მაჩვენებლების</w:t>
      </w:r>
      <w:r w:rsidRPr="007B3E40">
        <w:rPr>
          <w:rFonts w:ascii="Sylfaen" w:hAnsi="Sylfaen" w:cs="Sylfaen"/>
        </w:rPr>
        <w:t xml:space="preserve"> </w:t>
      </w:r>
      <w:r>
        <w:rPr>
          <w:rFonts w:ascii="Sylfaen" w:hAnsi="Sylfaen" w:cs="Sylfaen"/>
        </w:rPr>
        <w:t>პროგნოზები</w:t>
      </w:r>
      <w:r w:rsidRPr="007B3E40">
        <w:rPr>
          <w:rFonts w:ascii="Sylfaen" w:hAnsi="Sylfaen" w:cs="Sylfaen"/>
        </w:rPr>
        <w:t xml:space="preserve"> </w:t>
      </w:r>
      <w:r>
        <w:rPr>
          <w:rFonts w:ascii="Sylfaen" w:hAnsi="Sylfaen" w:cs="Sylfaen"/>
        </w:rPr>
        <w:t>მოცემულია</w:t>
      </w:r>
      <w:r w:rsidRPr="007B3E40">
        <w:rPr>
          <w:rFonts w:ascii="Sylfaen" w:hAnsi="Sylfaen" w:cs="Sylfaen"/>
        </w:rPr>
        <w:t xml:space="preserve"> </w:t>
      </w:r>
      <w:r>
        <w:rPr>
          <w:rFonts w:ascii="Sylfaen" w:hAnsi="Sylfaen" w:cs="Sylfaen"/>
        </w:rPr>
        <w:t>როგორც</w:t>
      </w:r>
      <w:r w:rsidRPr="007B3E40">
        <w:rPr>
          <w:rFonts w:ascii="Sylfaen" w:hAnsi="Sylfaen" w:cs="Sylfaen"/>
        </w:rPr>
        <w:t xml:space="preserve"> </w:t>
      </w:r>
      <w:r>
        <w:rPr>
          <w:rFonts w:ascii="Sylfaen" w:hAnsi="Sylfaen" w:cs="Sylfaen"/>
        </w:rPr>
        <w:t>ნომინალურ გამოხატულებაში, ასევე პროცენტული ცვლილება წინა წელთან და პროცენტულად</w:t>
      </w:r>
      <w:r w:rsidRPr="007B3E40">
        <w:rPr>
          <w:rFonts w:ascii="Sylfaen" w:hAnsi="Sylfaen" w:cs="Sylfaen"/>
        </w:rPr>
        <w:t xml:space="preserve"> </w:t>
      </w:r>
      <w:r>
        <w:rPr>
          <w:rFonts w:ascii="Sylfaen" w:hAnsi="Sylfaen" w:cs="Sylfaen"/>
        </w:rPr>
        <w:t>მშპ-ს მიმართ. საბანკო სექტორისა და ეროვნული ბანკის მაჩვენებლებში</w:t>
      </w:r>
      <w:r w:rsidRPr="007B3E40">
        <w:rPr>
          <w:rFonts w:ascii="Sylfaen" w:hAnsi="Sylfaen" w:cs="Sylfaen"/>
        </w:rPr>
        <w:t xml:space="preserve"> </w:t>
      </w:r>
      <w:r>
        <w:rPr>
          <w:rFonts w:ascii="Sylfaen" w:hAnsi="Sylfaen" w:cs="Sylfaen"/>
        </w:rPr>
        <w:t>მოცემულია საგარეო</w:t>
      </w:r>
      <w:r w:rsidRPr="007B3E40">
        <w:rPr>
          <w:rFonts w:ascii="Sylfaen" w:hAnsi="Sylfaen" w:cs="Sylfaen"/>
        </w:rPr>
        <w:t xml:space="preserve"> </w:t>
      </w:r>
      <w:r>
        <w:rPr>
          <w:rFonts w:ascii="Sylfaen" w:hAnsi="Sylfaen" w:cs="Sylfaen"/>
        </w:rPr>
        <w:t>აქტივები და ვალდებულებები, საშინაო აქტივები, მათ შორის: მთავრობის, ბანკების და კერძო სექტორის დავალიანება</w:t>
      </w:r>
      <w:r w:rsidRPr="007B3E40">
        <w:rPr>
          <w:rFonts w:ascii="Sylfaen" w:hAnsi="Sylfaen" w:cs="Sylfaen"/>
        </w:rPr>
        <w:t xml:space="preserve"> </w:t>
      </w:r>
      <w:r>
        <w:rPr>
          <w:rFonts w:ascii="Sylfaen" w:hAnsi="Sylfaen" w:cs="Sylfaen"/>
        </w:rPr>
        <w:t>და სხვა წმინდა</w:t>
      </w:r>
      <w:r w:rsidRPr="007B3E40">
        <w:rPr>
          <w:rFonts w:ascii="Sylfaen" w:hAnsi="Sylfaen" w:cs="Sylfaen"/>
        </w:rPr>
        <w:t xml:space="preserve"> </w:t>
      </w:r>
      <w:r>
        <w:rPr>
          <w:rFonts w:ascii="Sylfaen" w:hAnsi="Sylfaen" w:cs="Sylfaen"/>
        </w:rPr>
        <w:t>აქტივები. აქვეა ნაჩვენები</w:t>
      </w:r>
      <w:r w:rsidRPr="007B3E40">
        <w:rPr>
          <w:rFonts w:ascii="Sylfaen" w:hAnsi="Sylfaen" w:cs="Sylfaen"/>
        </w:rPr>
        <w:t xml:space="preserve"> </w:t>
      </w:r>
      <w:r>
        <w:rPr>
          <w:rFonts w:ascii="Sylfaen" w:hAnsi="Sylfaen" w:cs="Sylfaen"/>
        </w:rPr>
        <w:t>ფართო</w:t>
      </w:r>
      <w:r w:rsidRPr="007B3E40">
        <w:rPr>
          <w:rFonts w:ascii="Sylfaen" w:hAnsi="Sylfaen" w:cs="Sylfaen"/>
        </w:rPr>
        <w:t xml:space="preserve"> </w:t>
      </w:r>
      <w:r>
        <w:rPr>
          <w:rFonts w:ascii="Sylfaen" w:hAnsi="Sylfaen" w:cs="Sylfaen"/>
        </w:rPr>
        <w:t>ფული, სარეზერვო</w:t>
      </w:r>
      <w:r w:rsidRPr="007B3E40">
        <w:rPr>
          <w:rFonts w:ascii="Sylfaen" w:hAnsi="Sylfaen" w:cs="Sylfaen"/>
        </w:rPr>
        <w:t xml:space="preserve"> </w:t>
      </w:r>
      <w:r>
        <w:rPr>
          <w:rFonts w:ascii="Sylfaen" w:hAnsi="Sylfaen" w:cs="Sylfaen"/>
        </w:rPr>
        <w:t>ფული, მიმოქცევაში და ბანკებს გარეთ არსებული ნაღდი ფული, დეპოზიტები ეროვნულ და უცხურ ვალუტაში</w:t>
      </w:r>
      <w:r w:rsidRPr="007B3E40">
        <w:rPr>
          <w:rFonts w:ascii="Sylfaen" w:hAnsi="Sylfaen" w:cs="Sylfaen"/>
        </w:rPr>
        <w:t xml:space="preserve"> </w:t>
      </w:r>
      <w:r>
        <w:rPr>
          <w:rFonts w:ascii="Sylfaen" w:hAnsi="Sylfaen" w:cs="Sylfaen"/>
        </w:rPr>
        <w:t>და</w:t>
      </w:r>
      <w:r w:rsidRPr="007B3E40">
        <w:rPr>
          <w:rFonts w:ascii="Sylfaen" w:hAnsi="Sylfaen" w:cs="Sylfaen"/>
        </w:rPr>
        <w:t xml:space="preserve"> </w:t>
      </w:r>
      <w:r>
        <w:rPr>
          <w:rFonts w:ascii="Sylfaen" w:hAnsi="Sylfaen" w:cs="Sylfaen"/>
        </w:rPr>
        <w:t>სხვა</w:t>
      </w:r>
      <w:r w:rsidRPr="007B3E40">
        <w:rPr>
          <w:rFonts w:ascii="Sylfaen" w:hAnsi="Sylfaen" w:cs="Sylfaen"/>
        </w:rPr>
        <w:t xml:space="preserve"> </w:t>
      </w:r>
      <w:r>
        <w:rPr>
          <w:rFonts w:ascii="Sylfaen" w:hAnsi="Sylfaen" w:cs="Sylfaen"/>
        </w:rPr>
        <w:t>მაჩვენებლები.</w:t>
      </w:r>
      <w:r w:rsidRPr="007B3E40">
        <w:rPr>
          <w:rFonts w:ascii="Sylfaen" w:hAnsi="Sylfaen" w:cs="Sylfaen"/>
        </w:rPr>
        <w:t xml:space="preserve"> </w:t>
      </w:r>
      <w:r>
        <w:rPr>
          <w:rFonts w:ascii="Sylfaen" w:hAnsi="Sylfaen" w:cs="Sylfaen"/>
        </w:rPr>
        <w:t>ცხრილებში</w:t>
      </w:r>
      <w:r w:rsidRPr="007B3E40">
        <w:rPr>
          <w:rFonts w:ascii="Sylfaen" w:hAnsi="Sylfaen" w:cs="Sylfaen"/>
        </w:rPr>
        <w:t xml:space="preserve"> </w:t>
      </w:r>
      <w:r>
        <w:rPr>
          <w:rFonts w:ascii="Sylfaen" w:hAnsi="Sylfaen" w:cs="Sylfaen"/>
        </w:rPr>
        <w:t>წარმოადგენილია</w:t>
      </w:r>
      <w:r w:rsidRPr="007B3E40">
        <w:rPr>
          <w:rFonts w:ascii="Sylfaen" w:hAnsi="Sylfaen" w:cs="Sylfaen"/>
        </w:rPr>
        <w:t xml:space="preserve"> </w:t>
      </w:r>
      <w:r>
        <w:rPr>
          <w:rFonts w:ascii="Sylfaen" w:hAnsi="Sylfaen" w:cs="Sylfaen"/>
        </w:rPr>
        <w:t>მემორანდუმის</w:t>
      </w:r>
      <w:r w:rsidRPr="007B3E40">
        <w:rPr>
          <w:rFonts w:ascii="Sylfaen" w:hAnsi="Sylfaen" w:cs="Sylfaen"/>
        </w:rPr>
        <w:t xml:space="preserve"> </w:t>
      </w:r>
      <w:r>
        <w:rPr>
          <w:rFonts w:ascii="Sylfaen" w:hAnsi="Sylfaen" w:cs="Sylfaen"/>
        </w:rPr>
        <w:t>მუხლები</w:t>
      </w:r>
      <w:r w:rsidRPr="007B3E40">
        <w:rPr>
          <w:rFonts w:ascii="Sylfaen" w:hAnsi="Sylfaen" w:cs="Sylfaen"/>
        </w:rPr>
        <w:t xml:space="preserve"> </w:t>
      </w:r>
      <w:r>
        <w:rPr>
          <w:rFonts w:ascii="Sylfaen" w:hAnsi="Sylfaen" w:cs="Sylfaen"/>
        </w:rPr>
        <w:t>სადაცარის, ფულის მიმოქცევის სიჩქარე,</w:t>
      </w:r>
      <w:r w:rsidRPr="007B3E40">
        <w:rPr>
          <w:rFonts w:ascii="Sylfaen" w:hAnsi="Sylfaen" w:cs="Sylfaen"/>
        </w:rPr>
        <w:t xml:space="preserve"> </w:t>
      </w:r>
      <w:r>
        <w:rPr>
          <w:rFonts w:ascii="Sylfaen" w:hAnsi="Sylfaen" w:cs="Sylfaen"/>
        </w:rPr>
        <w:t>ფულის მულტიპლიკატორი,</w:t>
      </w:r>
      <w:r w:rsidRPr="007B3E40">
        <w:rPr>
          <w:rFonts w:ascii="Sylfaen" w:hAnsi="Sylfaen" w:cs="Sylfaen"/>
        </w:rPr>
        <w:t xml:space="preserve"> </w:t>
      </w:r>
      <w:r>
        <w:rPr>
          <w:rFonts w:ascii="Sylfaen" w:hAnsi="Sylfaen" w:cs="Sylfaen"/>
        </w:rPr>
        <w:t>მთლიანი საერთაშორისო რეზერვები</w:t>
      </w:r>
      <w:r>
        <w:rPr>
          <w:rFonts w:ascii="Sylfaen" w:hAnsi="Sylfaen" w:cs="Sylfaen"/>
        </w:rPr>
        <w:tab/>
        <w:t xml:space="preserve">როგორც   </w:t>
      </w:r>
      <w:r w:rsidRPr="007B3E40">
        <w:rPr>
          <w:rFonts w:ascii="Sylfaen" w:hAnsi="Sylfaen" w:cs="Sylfaen"/>
        </w:rPr>
        <w:t xml:space="preserve"> </w:t>
      </w:r>
      <w:r>
        <w:rPr>
          <w:rFonts w:ascii="Sylfaen" w:hAnsi="Sylfaen" w:cs="Sylfaen"/>
        </w:rPr>
        <w:t xml:space="preserve">აშშ   </w:t>
      </w:r>
      <w:r w:rsidRPr="007B3E40">
        <w:rPr>
          <w:rFonts w:ascii="Sylfaen" w:hAnsi="Sylfaen" w:cs="Sylfaen"/>
        </w:rPr>
        <w:t xml:space="preserve"> </w:t>
      </w:r>
      <w:r>
        <w:rPr>
          <w:rFonts w:ascii="Sylfaen" w:hAnsi="Sylfaen" w:cs="Sylfaen"/>
        </w:rPr>
        <w:t xml:space="preserve">დოლარში,   </w:t>
      </w:r>
      <w:r w:rsidRPr="007B3E40">
        <w:rPr>
          <w:rFonts w:ascii="Sylfaen" w:hAnsi="Sylfaen" w:cs="Sylfaen"/>
        </w:rPr>
        <w:t xml:space="preserve"> </w:t>
      </w:r>
      <w:r>
        <w:rPr>
          <w:rFonts w:ascii="Sylfaen" w:hAnsi="Sylfaen" w:cs="Sylfaen"/>
        </w:rPr>
        <w:t xml:space="preserve">ისე   </w:t>
      </w:r>
      <w:r w:rsidRPr="007B3E40">
        <w:rPr>
          <w:rFonts w:ascii="Sylfaen" w:hAnsi="Sylfaen" w:cs="Sylfaen"/>
        </w:rPr>
        <w:t xml:space="preserve"> </w:t>
      </w:r>
      <w:r>
        <w:rPr>
          <w:rFonts w:ascii="Sylfaen" w:hAnsi="Sylfaen" w:cs="Sylfaen"/>
        </w:rPr>
        <w:t xml:space="preserve">ერთი   </w:t>
      </w:r>
      <w:r w:rsidRPr="007B3E40">
        <w:rPr>
          <w:rFonts w:ascii="Sylfaen" w:hAnsi="Sylfaen" w:cs="Sylfaen"/>
        </w:rPr>
        <w:t xml:space="preserve"> </w:t>
      </w:r>
      <w:r>
        <w:rPr>
          <w:rFonts w:ascii="Sylfaen" w:hAnsi="Sylfaen" w:cs="Sylfaen"/>
        </w:rPr>
        <w:t xml:space="preserve">თვის   </w:t>
      </w:r>
      <w:r w:rsidRPr="007B3E40">
        <w:rPr>
          <w:rFonts w:ascii="Sylfaen" w:hAnsi="Sylfaen" w:cs="Sylfaen"/>
        </w:rPr>
        <w:t xml:space="preserve"> </w:t>
      </w:r>
      <w:r>
        <w:rPr>
          <w:rFonts w:ascii="Sylfaen" w:hAnsi="Sylfaen" w:cs="Sylfaen"/>
        </w:rPr>
        <w:t xml:space="preserve">საშუალო   </w:t>
      </w:r>
      <w:r w:rsidRPr="007B3E40">
        <w:rPr>
          <w:rFonts w:ascii="Sylfaen" w:hAnsi="Sylfaen" w:cs="Sylfaen"/>
        </w:rPr>
        <w:t xml:space="preserve"> </w:t>
      </w:r>
      <w:r>
        <w:rPr>
          <w:rFonts w:ascii="Sylfaen" w:hAnsi="Sylfaen" w:cs="Sylfaen"/>
        </w:rPr>
        <w:t>იმპორტის ჯერადი. წარმოდგენილია</w:t>
      </w:r>
      <w:r w:rsidRPr="007B3E40">
        <w:rPr>
          <w:rFonts w:ascii="Sylfaen" w:hAnsi="Sylfaen" w:cs="Sylfaen"/>
        </w:rPr>
        <w:t xml:space="preserve"> </w:t>
      </w:r>
      <w:r>
        <w:rPr>
          <w:rFonts w:ascii="Sylfaen" w:hAnsi="Sylfaen" w:cs="Sylfaen"/>
        </w:rPr>
        <w:t>დეპოზიტების</w:t>
      </w:r>
      <w:r w:rsidRPr="007B3E40">
        <w:rPr>
          <w:rFonts w:ascii="Sylfaen" w:hAnsi="Sylfaen" w:cs="Sylfaen"/>
        </w:rPr>
        <w:t xml:space="preserve"> </w:t>
      </w:r>
      <w:r>
        <w:rPr>
          <w:rFonts w:ascii="Sylfaen" w:hAnsi="Sylfaen" w:cs="Sylfaen"/>
        </w:rPr>
        <w:t>დოლარიზაციის</w:t>
      </w:r>
      <w:r w:rsidRPr="007B3E40">
        <w:rPr>
          <w:rFonts w:ascii="Sylfaen" w:hAnsi="Sylfaen" w:cs="Sylfaen"/>
        </w:rPr>
        <w:t xml:space="preserve"> </w:t>
      </w:r>
      <w:r>
        <w:rPr>
          <w:rFonts w:ascii="Sylfaen" w:hAnsi="Sylfaen" w:cs="Sylfaen"/>
        </w:rPr>
        <w:t>კოეფიციენტი</w:t>
      </w:r>
      <w:r w:rsidRPr="007B3E40">
        <w:rPr>
          <w:rFonts w:ascii="Sylfaen" w:hAnsi="Sylfaen" w:cs="Sylfaen"/>
        </w:rPr>
        <w:t xml:space="preserve"> </w:t>
      </w:r>
      <w:r>
        <w:rPr>
          <w:rFonts w:ascii="Sylfaen" w:hAnsi="Sylfaen" w:cs="Sylfaen"/>
        </w:rPr>
        <w:t>და კერძო (არასამთავრობო) სექტორის დაკრედიტების მაჩვენებელი.</w:t>
      </w: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p>
    <w:p w:rsidR="0032238B" w:rsidRPr="007B3E40" w:rsidRDefault="0032238B" w:rsidP="0032238B">
      <w:pPr>
        <w:widowControl w:val="0"/>
        <w:autoSpaceDE w:val="0"/>
        <w:autoSpaceDN w:val="0"/>
        <w:adjustRightInd w:val="0"/>
        <w:spacing w:after="0" w:line="276" w:lineRule="auto"/>
        <w:ind w:left="120" w:right="67" w:firstLine="720"/>
        <w:jc w:val="both"/>
        <w:rPr>
          <w:rFonts w:ascii="Sylfaen" w:hAnsi="Sylfaen" w:cs="Sylfaen"/>
        </w:rPr>
      </w:pPr>
      <w:r w:rsidRPr="007B3E40">
        <w:rPr>
          <w:rFonts w:ascii="Sylfaen" w:hAnsi="Sylfaen" w:cs="Sylfaen"/>
          <w:noProof/>
        </w:rPr>
        <mc:AlternateContent>
          <mc:Choice Requires="wps">
            <w:drawing>
              <wp:anchor distT="0" distB="0" distL="114300" distR="114300" simplePos="0" relativeHeight="251659264" behindDoc="1" locked="0" layoutInCell="0" allowOverlap="1" wp14:anchorId="2F1CE769" wp14:editId="02E6638A">
                <wp:simplePos x="0" y="0"/>
                <wp:positionH relativeFrom="page">
                  <wp:posOffset>2152015</wp:posOffset>
                </wp:positionH>
                <wp:positionV relativeFrom="paragraph">
                  <wp:posOffset>582930</wp:posOffset>
                </wp:positionV>
                <wp:extent cx="34925" cy="0"/>
                <wp:effectExtent l="0" t="0" r="3175"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54 w 55"/>
                          </a:gdLst>
                          <a:ahLst/>
                          <a:cxnLst>
                            <a:cxn ang="0">
                              <a:pos x="T0" y="0"/>
                            </a:cxn>
                            <a:cxn ang="0">
                              <a:pos x="T1" y="0"/>
                            </a:cxn>
                          </a:cxnLst>
                          <a:rect l="0" t="0" r="r" b="b"/>
                          <a:pathLst>
                            <a:path w="55">
                              <a:moveTo>
                                <a:pt x="0" y="0"/>
                              </a:moveTo>
                              <a:lnTo>
                                <a:pt x="54" y="0"/>
                              </a:lnTo>
                            </a:path>
                          </a:pathLst>
                        </a:custGeom>
                        <a:noFill/>
                        <a:ln w="6985">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1479E7"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45pt,45.9pt,172.15pt,45.9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" o:allowincell="f" filled="f" strokecolor="#b5082e" strokeweight=".55pt">
                <v:path arrowok="t" o:connecttype="custom" o:connectlocs="0,0;34290,0" o:connectangles="0,0"/>
                <w10:wrap anchorx="page"/>
              </v:polyline>
            </w:pict>
          </mc:Fallback>
        </mc:AlternateContent>
      </w:r>
      <w:r>
        <w:rPr>
          <w:rFonts w:ascii="Sylfaen" w:hAnsi="Sylfaen" w:cs="Sylfaen"/>
        </w:rPr>
        <w:t xml:space="preserve">მე-7  ცხრილში  წარმოდგენილია </w:t>
      </w:r>
      <w:r w:rsidRPr="007B3E40">
        <w:rPr>
          <w:rFonts w:ascii="Sylfaen" w:hAnsi="Sylfaen" w:cs="Sylfaen"/>
        </w:rPr>
        <w:t xml:space="preserve"> </w:t>
      </w:r>
      <w:r>
        <w:rPr>
          <w:rFonts w:ascii="Sylfaen" w:hAnsi="Sylfaen" w:cs="Sylfaen"/>
        </w:rPr>
        <w:t>სახელმწიფოს  ერთიანი  ბიუჯეტის  პროგნოზები, რომელიც ასახავს საქართველოს საბიუჯეტო კოდექსით განსაზღვრული სახელმწიფო ერთიანი ბიუჯეტის პარამეტრებს</w:t>
      </w:r>
      <w:r w:rsidRPr="007B3E40">
        <w:rPr>
          <w:rFonts w:ascii="Sylfaen" w:hAnsi="Sylfaen" w:cs="Sylfaen"/>
        </w:rPr>
        <w:t>, რაც მოიცავს ნაერთი ბიუჯეტის მაჩვენებლებს, 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 სხვა (საკუთარ) შემოსავლებთან ერთად. სახელმწიფოს ერთიანი ბიუჯეტის მაჩვენებლები მოცემულია როგორც ნომინალური გამოხატულებაში, ასევე პროცენტულად მშპ-სთან.   ამავე ცხრილში მოცემულია სახელმწიფოს ერთიანი ბიუჯეტის მთლიანი სალდო, რომელიც წარმოადგენს საბიუჯეტო კოდექსით განსაზღვრულ დეფიციტს, რომელთან მიმართებაშიც „ეკონომიკური თავისუფლების შესახებ“ საქართველოს ორგანული კანონით დადგენილია ზღვარი მშპ-თან (3%).</w:t>
      </w:r>
    </w:p>
    <w:p w:rsidR="0032238B" w:rsidRPr="002638AD" w:rsidRDefault="0032238B" w:rsidP="0032238B">
      <w:pPr>
        <w:widowControl w:val="0"/>
        <w:autoSpaceDE w:val="0"/>
        <w:autoSpaceDN w:val="0"/>
        <w:adjustRightInd w:val="0"/>
        <w:spacing w:after="0" w:line="276" w:lineRule="auto"/>
        <w:ind w:left="120" w:right="67" w:firstLine="720"/>
        <w:jc w:val="both"/>
        <w:rPr>
          <w:rFonts w:ascii="Sylfaen" w:hAnsi="Sylfaen" w:cs="Sylfaen"/>
          <w:lang w:val="ka-GE"/>
        </w:rPr>
      </w:pPr>
    </w:p>
    <w:p w:rsidR="0032238B" w:rsidRPr="00721C0C" w:rsidRDefault="0032238B" w:rsidP="0032238B">
      <w:pPr>
        <w:widowControl w:val="0"/>
        <w:autoSpaceDE w:val="0"/>
        <w:autoSpaceDN w:val="0"/>
        <w:adjustRightInd w:val="0"/>
        <w:spacing w:after="0" w:line="276" w:lineRule="auto"/>
        <w:ind w:left="120" w:right="67" w:firstLine="720"/>
        <w:jc w:val="both"/>
        <w:rPr>
          <w:rFonts w:ascii="Sylfaen" w:hAnsi="Sylfaen" w:cs="Sylfaen"/>
          <w:lang w:val="af-ZA"/>
        </w:rPr>
      </w:pPr>
    </w:p>
    <w:p w:rsidR="0032238B" w:rsidRPr="00C9780C" w:rsidRDefault="0032238B" w:rsidP="00470304">
      <w:pPr>
        <w:pStyle w:val="NoSpacing"/>
        <w:spacing w:line="276" w:lineRule="auto"/>
        <w:ind w:firstLine="720"/>
        <w:jc w:val="both"/>
        <w:rPr>
          <w:rFonts w:ascii="Sylfaen" w:hAnsi="Sylfaen"/>
          <w:b/>
        </w:rPr>
      </w:pPr>
    </w:p>
    <w:sectPr w:rsidR="0032238B" w:rsidRPr="00C9780C" w:rsidSect="00211AB2">
      <w:footerReference w:type="default" r:id="rId8"/>
      <w:pgSz w:w="12240" w:h="15840"/>
      <w:pgMar w:top="630" w:right="90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E6" w:rsidRDefault="007664E6" w:rsidP="009F60D8">
      <w:pPr>
        <w:spacing w:after="0" w:line="240" w:lineRule="auto"/>
      </w:pPr>
      <w:r>
        <w:separator/>
      </w:r>
    </w:p>
  </w:endnote>
  <w:endnote w:type="continuationSeparator" w:id="0">
    <w:p w:rsidR="007664E6" w:rsidRDefault="007664E6"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021E8F" w:rsidRDefault="00021E8F">
        <w:pPr>
          <w:pStyle w:val="Footer"/>
          <w:jc w:val="right"/>
        </w:pPr>
        <w:r>
          <w:fldChar w:fldCharType="begin"/>
        </w:r>
        <w:r>
          <w:instrText xml:space="preserve"> PAGE   \* MERGEFORMAT </w:instrText>
        </w:r>
        <w:r>
          <w:fldChar w:fldCharType="separate"/>
        </w:r>
        <w:r w:rsidR="0032238B">
          <w:rPr>
            <w:noProof/>
          </w:rPr>
          <w:t>19</w:t>
        </w:r>
        <w:r>
          <w:rPr>
            <w:noProof/>
          </w:rPr>
          <w:fldChar w:fldCharType="end"/>
        </w:r>
      </w:p>
    </w:sdtContent>
  </w:sdt>
  <w:p w:rsidR="00021E8F" w:rsidRDefault="00021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E6" w:rsidRDefault="007664E6" w:rsidP="009F60D8">
      <w:pPr>
        <w:spacing w:after="0" w:line="240" w:lineRule="auto"/>
      </w:pPr>
      <w:r>
        <w:separator/>
      </w:r>
    </w:p>
  </w:footnote>
  <w:footnote w:type="continuationSeparator" w:id="0">
    <w:p w:rsidR="007664E6" w:rsidRDefault="007664E6" w:rsidP="009F60D8">
      <w:pPr>
        <w:spacing w:after="0" w:line="240" w:lineRule="auto"/>
      </w:pPr>
      <w:r>
        <w:continuationSeparator/>
      </w:r>
    </w:p>
  </w:footnote>
  <w:footnote w:id="1">
    <w:p w:rsidR="00021E8F" w:rsidRPr="0045636A" w:rsidRDefault="00021E8F" w:rsidP="0045636A">
      <w:pPr>
        <w:pStyle w:val="NoSpacing"/>
        <w:spacing w:line="276" w:lineRule="auto"/>
        <w:jc w:val="both"/>
        <w:rPr>
          <w:rFonts w:ascii="Sylfaen" w:hAnsi="Sylfaen"/>
          <w:sz w:val="20"/>
          <w:szCs w:val="20"/>
        </w:rPr>
      </w:pPr>
      <w:r>
        <w:rPr>
          <w:rStyle w:val="FootnoteReference"/>
        </w:rPr>
        <w:footnoteRef/>
      </w:r>
      <w:r>
        <w:t xml:space="preserve"> </w:t>
      </w:r>
      <w:r w:rsidRPr="0045636A">
        <w:rPr>
          <w:rFonts w:ascii="Sylfaen" w:hAnsi="Sylfaen"/>
          <w:sz w:val="20"/>
          <w:szCs w:val="20"/>
          <w:lang w:val="ka-GE"/>
        </w:rPr>
        <w:t>2021 წლის სახელმწიფო ბიუჯეტის და 2021-2024 წლების ქვეყნის ძირითადი მონაცემების და მიმართულებების დოკუმენტის საბოლოო ვარიანტის მომზადების დროს საქართველოს მთავრობას წარედგინა საშუალოვადიანი პროგნოზების შედარების ანალიზი, რომელშიც 2021-2024 წლების პირველადი პროგნოზები შედარებულ იქნა 2020 წლის ბიუჯეტის კანონზე თანდართულ ცხრილებთან (</w:t>
      </w:r>
      <w:r w:rsidRPr="0045636A">
        <w:rPr>
          <w:rStyle w:val="Hyperlink"/>
          <w:rFonts w:ascii="Sylfaen" w:hAnsi="Sylfaen"/>
          <w:sz w:val="20"/>
          <w:szCs w:val="20"/>
        </w:rPr>
        <w:t>https://mof.ge/images/File/2021-biujeti/12-01-2021/11.%20prognozebis%20shedareba.docx</w:t>
      </w:r>
      <w:r w:rsidRPr="0045636A">
        <w:rPr>
          <w:rStyle w:val="Hyperlink"/>
          <w:rFonts w:ascii="Sylfaen" w:hAnsi="Sylfaen"/>
          <w:sz w:val="20"/>
          <w:szCs w:val="20"/>
          <w:lang w:val="ka-GE"/>
        </w:rPr>
        <w:t>)</w:t>
      </w:r>
      <w:r w:rsidRPr="0045636A">
        <w:rPr>
          <w:rFonts w:ascii="Sylfaen" w:hAnsi="Sylfaen"/>
          <w:sz w:val="20"/>
          <w:szCs w:val="20"/>
          <w:lang w:val="ka-GE"/>
        </w:rPr>
        <w:t xml:space="preserve"> და 2021-2024 წლების პროგნოზების წინა ვერსიებთან.</w:t>
      </w:r>
    </w:p>
    <w:p w:rsidR="00021E8F" w:rsidRPr="0045636A" w:rsidRDefault="00021E8F" w:rsidP="0045636A">
      <w:pPr>
        <w:pStyle w:val="FootnoteText"/>
        <w:jc w:val="both"/>
        <w:rPr>
          <w:lang w:val="ka-GE"/>
        </w:rPr>
      </w:pPr>
    </w:p>
  </w:footnote>
  <w:footnote w:id="2">
    <w:p w:rsidR="00021E8F" w:rsidRPr="00246230" w:rsidRDefault="00021E8F">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1E8F"/>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C004C"/>
    <w:rsid w:val="000C3985"/>
    <w:rsid w:val="000C5D40"/>
    <w:rsid w:val="000C7E80"/>
    <w:rsid w:val="000D1ED1"/>
    <w:rsid w:val="000D44F3"/>
    <w:rsid w:val="000E0266"/>
    <w:rsid w:val="000E416B"/>
    <w:rsid w:val="000E4929"/>
    <w:rsid w:val="000F09D1"/>
    <w:rsid w:val="000F104E"/>
    <w:rsid w:val="0010193C"/>
    <w:rsid w:val="001062A1"/>
    <w:rsid w:val="00113698"/>
    <w:rsid w:val="00114D91"/>
    <w:rsid w:val="0012041B"/>
    <w:rsid w:val="0012199F"/>
    <w:rsid w:val="00131827"/>
    <w:rsid w:val="001344A0"/>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347E"/>
    <w:rsid w:val="001D1413"/>
    <w:rsid w:val="001F08E6"/>
    <w:rsid w:val="001F4868"/>
    <w:rsid w:val="002026E6"/>
    <w:rsid w:val="00204779"/>
    <w:rsid w:val="00211AB2"/>
    <w:rsid w:val="002141D8"/>
    <w:rsid w:val="00215558"/>
    <w:rsid w:val="0021708C"/>
    <w:rsid w:val="00220829"/>
    <w:rsid w:val="00220F8D"/>
    <w:rsid w:val="002404B2"/>
    <w:rsid w:val="00240C12"/>
    <w:rsid w:val="0024220D"/>
    <w:rsid w:val="002429D0"/>
    <w:rsid w:val="0024333D"/>
    <w:rsid w:val="00246230"/>
    <w:rsid w:val="00261AE4"/>
    <w:rsid w:val="00263D13"/>
    <w:rsid w:val="002807FA"/>
    <w:rsid w:val="002E1420"/>
    <w:rsid w:val="002F1C52"/>
    <w:rsid w:val="003048EB"/>
    <w:rsid w:val="00304B4F"/>
    <w:rsid w:val="00306448"/>
    <w:rsid w:val="00311AE3"/>
    <w:rsid w:val="0032238B"/>
    <w:rsid w:val="00322417"/>
    <w:rsid w:val="003333F7"/>
    <w:rsid w:val="00334A00"/>
    <w:rsid w:val="00335BCF"/>
    <w:rsid w:val="00336F8C"/>
    <w:rsid w:val="0034327C"/>
    <w:rsid w:val="0035579C"/>
    <w:rsid w:val="00355B59"/>
    <w:rsid w:val="00355C21"/>
    <w:rsid w:val="0035700F"/>
    <w:rsid w:val="00360521"/>
    <w:rsid w:val="003663AE"/>
    <w:rsid w:val="00370834"/>
    <w:rsid w:val="003813E0"/>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96F"/>
    <w:rsid w:val="00403068"/>
    <w:rsid w:val="00404E8F"/>
    <w:rsid w:val="0041284B"/>
    <w:rsid w:val="00420EC8"/>
    <w:rsid w:val="0042677B"/>
    <w:rsid w:val="00431DB1"/>
    <w:rsid w:val="00436064"/>
    <w:rsid w:val="0044579A"/>
    <w:rsid w:val="00452AC8"/>
    <w:rsid w:val="0045636A"/>
    <w:rsid w:val="00457F1D"/>
    <w:rsid w:val="004654A1"/>
    <w:rsid w:val="0046628B"/>
    <w:rsid w:val="00470304"/>
    <w:rsid w:val="00475FE9"/>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72B6"/>
    <w:rsid w:val="00553CBE"/>
    <w:rsid w:val="00557078"/>
    <w:rsid w:val="00560152"/>
    <w:rsid w:val="00561553"/>
    <w:rsid w:val="00585FF0"/>
    <w:rsid w:val="00587368"/>
    <w:rsid w:val="005919D2"/>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904FA"/>
    <w:rsid w:val="00693CED"/>
    <w:rsid w:val="006A22AE"/>
    <w:rsid w:val="006A3D51"/>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4ED0"/>
    <w:rsid w:val="00707044"/>
    <w:rsid w:val="00711FD0"/>
    <w:rsid w:val="0073343E"/>
    <w:rsid w:val="007366C4"/>
    <w:rsid w:val="00741617"/>
    <w:rsid w:val="00743CA7"/>
    <w:rsid w:val="0074751F"/>
    <w:rsid w:val="007664E6"/>
    <w:rsid w:val="00773D36"/>
    <w:rsid w:val="00776610"/>
    <w:rsid w:val="00781209"/>
    <w:rsid w:val="00782ECE"/>
    <w:rsid w:val="00785FB9"/>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412E"/>
    <w:rsid w:val="00805783"/>
    <w:rsid w:val="00806EBA"/>
    <w:rsid w:val="0080791C"/>
    <w:rsid w:val="00816DE6"/>
    <w:rsid w:val="00816F7E"/>
    <w:rsid w:val="00821A2A"/>
    <w:rsid w:val="00822AA8"/>
    <w:rsid w:val="00836FD1"/>
    <w:rsid w:val="0084099F"/>
    <w:rsid w:val="00843136"/>
    <w:rsid w:val="00850F31"/>
    <w:rsid w:val="0085580C"/>
    <w:rsid w:val="00857B5A"/>
    <w:rsid w:val="00862507"/>
    <w:rsid w:val="008644B4"/>
    <w:rsid w:val="00873562"/>
    <w:rsid w:val="008B430C"/>
    <w:rsid w:val="008B73C0"/>
    <w:rsid w:val="008C5E23"/>
    <w:rsid w:val="008D0202"/>
    <w:rsid w:val="008D5276"/>
    <w:rsid w:val="008E1DC6"/>
    <w:rsid w:val="008E58FE"/>
    <w:rsid w:val="008E75CE"/>
    <w:rsid w:val="008F384A"/>
    <w:rsid w:val="00902BC5"/>
    <w:rsid w:val="00911CE0"/>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6ED0"/>
    <w:rsid w:val="00987AAD"/>
    <w:rsid w:val="00994C04"/>
    <w:rsid w:val="00995E69"/>
    <w:rsid w:val="0099680C"/>
    <w:rsid w:val="009973A2"/>
    <w:rsid w:val="00997A30"/>
    <w:rsid w:val="009A50FB"/>
    <w:rsid w:val="009B2991"/>
    <w:rsid w:val="009B3A95"/>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30D38"/>
    <w:rsid w:val="00A344A4"/>
    <w:rsid w:val="00A34F8C"/>
    <w:rsid w:val="00A35BF0"/>
    <w:rsid w:val="00A378D5"/>
    <w:rsid w:val="00A546A7"/>
    <w:rsid w:val="00A56744"/>
    <w:rsid w:val="00A60FDC"/>
    <w:rsid w:val="00A63808"/>
    <w:rsid w:val="00A6703D"/>
    <w:rsid w:val="00A67A05"/>
    <w:rsid w:val="00A816E3"/>
    <w:rsid w:val="00A84CB2"/>
    <w:rsid w:val="00A97679"/>
    <w:rsid w:val="00AA36AE"/>
    <w:rsid w:val="00AA4676"/>
    <w:rsid w:val="00AA5368"/>
    <w:rsid w:val="00AA5788"/>
    <w:rsid w:val="00AD4D9F"/>
    <w:rsid w:val="00AD5491"/>
    <w:rsid w:val="00AD738A"/>
    <w:rsid w:val="00AF23C1"/>
    <w:rsid w:val="00AF3C74"/>
    <w:rsid w:val="00B0075B"/>
    <w:rsid w:val="00B020D2"/>
    <w:rsid w:val="00B10324"/>
    <w:rsid w:val="00B10C51"/>
    <w:rsid w:val="00B110BF"/>
    <w:rsid w:val="00B11DBC"/>
    <w:rsid w:val="00B14474"/>
    <w:rsid w:val="00B217EF"/>
    <w:rsid w:val="00B23CB5"/>
    <w:rsid w:val="00B30B4F"/>
    <w:rsid w:val="00B32541"/>
    <w:rsid w:val="00B429B2"/>
    <w:rsid w:val="00B43B65"/>
    <w:rsid w:val="00B50D9C"/>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E4CE5"/>
    <w:rsid w:val="00BF167C"/>
    <w:rsid w:val="00BF1E77"/>
    <w:rsid w:val="00C12DE3"/>
    <w:rsid w:val="00C13875"/>
    <w:rsid w:val="00C13CEB"/>
    <w:rsid w:val="00C24549"/>
    <w:rsid w:val="00C25447"/>
    <w:rsid w:val="00C302BD"/>
    <w:rsid w:val="00C551C7"/>
    <w:rsid w:val="00C64480"/>
    <w:rsid w:val="00C665F9"/>
    <w:rsid w:val="00C70029"/>
    <w:rsid w:val="00C71FCB"/>
    <w:rsid w:val="00C75BD8"/>
    <w:rsid w:val="00C76B9F"/>
    <w:rsid w:val="00C85296"/>
    <w:rsid w:val="00C8711F"/>
    <w:rsid w:val="00C9780C"/>
    <w:rsid w:val="00CA3B82"/>
    <w:rsid w:val="00CB0B67"/>
    <w:rsid w:val="00CB204E"/>
    <w:rsid w:val="00CB5879"/>
    <w:rsid w:val="00CC180B"/>
    <w:rsid w:val="00CE495D"/>
    <w:rsid w:val="00CF227E"/>
    <w:rsid w:val="00CF6B03"/>
    <w:rsid w:val="00CF7B45"/>
    <w:rsid w:val="00D07174"/>
    <w:rsid w:val="00D07BAA"/>
    <w:rsid w:val="00D224EE"/>
    <w:rsid w:val="00D26B98"/>
    <w:rsid w:val="00D344F1"/>
    <w:rsid w:val="00D34D9D"/>
    <w:rsid w:val="00D37C22"/>
    <w:rsid w:val="00D42676"/>
    <w:rsid w:val="00D50FD1"/>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7F4F"/>
    <w:rsid w:val="00E10315"/>
    <w:rsid w:val="00E13B75"/>
    <w:rsid w:val="00E13F52"/>
    <w:rsid w:val="00E21921"/>
    <w:rsid w:val="00E260C5"/>
    <w:rsid w:val="00E30F0E"/>
    <w:rsid w:val="00E36130"/>
    <w:rsid w:val="00E4430E"/>
    <w:rsid w:val="00E479A4"/>
    <w:rsid w:val="00E50966"/>
    <w:rsid w:val="00E521A1"/>
    <w:rsid w:val="00E62DDE"/>
    <w:rsid w:val="00E6670D"/>
    <w:rsid w:val="00E80D75"/>
    <w:rsid w:val="00E86E84"/>
    <w:rsid w:val="00E873F4"/>
    <w:rsid w:val="00E87DC6"/>
    <w:rsid w:val="00E9011D"/>
    <w:rsid w:val="00E94446"/>
    <w:rsid w:val="00E94E2E"/>
    <w:rsid w:val="00EA039D"/>
    <w:rsid w:val="00EA45E1"/>
    <w:rsid w:val="00EB72AD"/>
    <w:rsid w:val="00EC21DA"/>
    <w:rsid w:val="00EC45C8"/>
    <w:rsid w:val="00EC5E35"/>
    <w:rsid w:val="00EC66F1"/>
    <w:rsid w:val="00EC7B3F"/>
    <w:rsid w:val="00ED33D9"/>
    <w:rsid w:val="00ED510A"/>
    <w:rsid w:val="00EE3A87"/>
    <w:rsid w:val="00EF36B7"/>
    <w:rsid w:val="00EF4CED"/>
    <w:rsid w:val="00F0406D"/>
    <w:rsid w:val="00F04B44"/>
    <w:rsid w:val="00F05023"/>
    <w:rsid w:val="00F07C59"/>
    <w:rsid w:val="00F07E56"/>
    <w:rsid w:val="00F11E3D"/>
    <w:rsid w:val="00F1681B"/>
    <w:rsid w:val="00F20410"/>
    <w:rsid w:val="00F20AEA"/>
    <w:rsid w:val="00F20BEA"/>
    <w:rsid w:val="00F32C71"/>
    <w:rsid w:val="00F416B5"/>
    <w:rsid w:val="00F44942"/>
    <w:rsid w:val="00F50686"/>
    <w:rsid w:val="00F54722"/>
    <w:rsid w:val="00F60E74"/>
    <w:rsid w:val="00F61B12"/>
    <w:rsid w:val="00F64373"/>
    <w:rsid w:val="00F66CBB"/>
    <w:rsid w:val="00F67536"/>
    <w:rsid w:val="00F761BC"/>
    <w:rsid w:val="00F923C5"/>
    <w:rsid w:val="00F93565"/>
    <w:rsid w:val="00FA0D7D"/>
    <w:rsid w:val="00FA363F"/>
    <w:rsid w:val="00FC0EF8"/>
    <w:rsid w:val="00FC5FC3"/>
    <w:rsid w:val="00FC7E9D"/>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E19C6"/>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C5FB-0C49-4E83-852F-FEE688A9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8</cp:revision>
  <cp:lastPrinted>2021-07-05T12:28:00Z</cp:lastPrinted>
  <dcterms:created xsi:type="dcterms:W3CDTF">2021-07-05T11:43:00Z</dcterms:created>
  <dcterms:modified xsi:type="dcterms:W3CDTF">2021-07-05T12:28:00Z</dcterms:modified>
</cp:coreProperties>
</file>